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1E" w:rsidRDefault="000F075E">
      <w:pPr>
        <w:widowControl w:val="0"/>
        <w:pBdr>
          <w:top w:val="nil"/>
          <w:left w:val="nil"/>
          <w:bottom w:val="nil"/>
          <w:right w:val="nil"/>
          <w:between w:val="nil"/>
        </w:pBdr>
        <w:spacing w:after="0" w:line="276" w:lineRule="auto"/>
        <w:jc w:val="center"/>
        <w:rPr>
          <w:rFonts w:ascii="Arial" w:eastAsia="Arial" w:hAnsi="Arial" w:cs="Arial"/>
          <w:b/>
        </w:rPr>
      </w:pPr>
      <w:bookmarkStart w:id="0" w:name="_GoBack"/>
      <w:bookmarkEnd w:id="0"/>
      <w:r>
        <w:rPr>
          <w:rFonts w:ascii="Arial" w:eastAsia="Arial" w:hAnsi="Arial" w:cs="Arial"/>
          <w:b/>
        </w:rPr>
        <w:t>SPECIAL TRIBUNAL OF SOUTH AFRICA</w:t>
      </w:r>
    </w:p>
    <w:p w:rsidR="00F47F1E" w:rsidRDefault="000F075E">
      <w:pPr>
        <w:widowControl w:val="0"/>
        <w:pBdr>
          <w:top w:val="nil"/>
          <w:left w:val="nil"/>
          <w:bottom w:val="nil"/>
          <w:right w:val="nil"/>
          <w:between w:val="nil"/>
        </w:pBdr>
        <w:spacing w:after="0" w:line="276" w:lineRule="auto"/>
        <w:jc w:val="center"/>
        <w:rPr>
          <w:rFonts w:ascii="Arial" w:eastAsia="Arial" w:hAnsi="Arial" w:cs="Arial"/>
          <w:b/>
        </w:rPr>
      </w:pPr>
      <w:r>
        <w:rPr>
          <w:rFonts w:ascii="Arial" w:eastAsia="Arial" w:hAnsi="Arial" w:cs="Arial"/>
          <w:b/>
        </w:rPr>
        <w:t>Judgment summary</w:t>
      </w:r>
    </w:p>
    <w:p w:rsidR="00F47F1E" w:rsidRDefault="00F47F1E">
      <w:pPr>
        <w:widowControl w:val="0"/>
        <w:pBdr>
          <w:top w:val="nil"/>
          <w:left w:val="nil"/>
          <w:bottom w:val="nil"/>
          <w:right w:val="nil"/>
          <w:between w:val="nil"/>
        </w:pBdr>
        <w:spacing w:after="0" w:line="276" w:lineRule="auto"/>
        <w:jc w:val="center"/>
        <w:rPr>
          <w:rFonts w:ascii="Arial" w:eastAsia="Arial" w:hAnsi="Arial" w:cs="Arial"/>
          <w:b/>
        </w:rPr>
      </w:pPr>
    </w:p>
    <w:tbl>
      <w:tblPr>
        <w:tblStyle w:val="a2"/>
        <w:tblW w:w="9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18"/>
      </w:tblGrid>
      <w:tr w:rsidR="00F47F1E">
        <w:tc>
          <w:tcPr>
            <w:tcW w:w="9007" w:type="dxa"/>
            <w:gridSpan w:val="2"/>
          </w:tcPr>
          <w:p w:rsidR="00F47F1E" w:rsidRDefault="000F075E">
            <w:pPr>
              <w:spacing w:after="0" w:line="276" w:lineRule="auto"/>
              <w:jc w:val="center"/>
              <w:rPr>
                <w:rFonts w:ascii="Gill Sans" w:eastAsia="Gill Sans" w:hAnsi="Gill Sans" w:cs="Gill Sans"/>
                <w:b/>
                <w:i/>
              </w:rPr>
            </w:pPr>
            <w:r>
              <w:rPr>
                <w:rFonts w:ascii="Gill Sans" w:eastAsia="Gill Sans" w:hAnsi="Gill Sans" w:cs="Gill Sans"/>
                <w:b/>
                <w:i/>
              </w:rPr>
              <w:t xml:space="preserve">SIU v </w:t>
            </w:r>
            <w:proofErr w:type="spellStart"/>
            <w:r>
              <w:rPr>
                <w:rFonts w:ascii="Gill Sans" w:eastAsia="Gill Sans" w:hAnsi="Gill Sans" w:cs="Gill Sans"/>
                <w:b/>
                <w:i/>
              </w:rPr>
              <w:t>Inqaba</w:t>
            </w:r>
            <w:proofErr w:type="spellEnd"/>
            <w:r>
              <w:rPr>
                <w:rFonts w:ascii="Gill Sans" w:eastAsia="Gill Sans" w:hAnsi="Gill Sans" w:cs="Gill Sans"/>
                <w:b/>
                <w:i/>
              </w:rPr>
              <w:t xml:space="preserve"> </w:t>
            </w:r>
            <w:proofErr w:type="spellStart"/>
            <w:r>
              <w:rPr>
                <w:rFonts w:ascii="Gill Sans" w:eastAsia="Gill Sans" w:hAnsi="Gill Sans" w:cs="Gill Sans"/>
                <w:b/>
                <w:i/>
              </w:rPr>
              <w:t>Yokulinda</w:t>
            </w:r>
            <w:proofErr w:type="spellEnd"/>
            <w:r>
              <w:rPr>
                <w:rFonts w:ascii="Gill Sans" w:eastAsia="Gill Sans" w:hAnsi="Gill Sans" w:cs="Gill Sans"/>
                <w:b/>
                <w:i/>
              </w:rPr>
              <w:t xml:space="preserve"> and Others</w:t>
            </w:r>
          </w:p>
        </w:tc>
      </w:tr>
      <w:tr w:rsidR="00F47F1E">
        <w:tc>
          <w:tcPr>
            <w:tcW w:w="2689" w:type="dxa"/>
          </w:tcPr>
          <w:p w:rsidR="00F47F1E" w:rsidRDefault="000F075E">
            <w:pPr>
              <w:spacing w:after="0" w:line="276" w:lineRule="auto"/>
              <w:jc w:val="both"/>
              <w:rPr>
                <w:rFonts w:ascii="Gill Sans" w:eastAsia="Gill Sans" w:hAnsi="Gill Sans" w:cs="Gill Sans"/>
              </w:rPr>
            </w:pPr>
            <w:r>
              <w:rPr>
                <w:rFonts w:ascii="Gill Sans" w:eastAsia="Gill Sans" w:hAnsi="Gill Sans" w:cs="Gill Sans"/>
              </w:rPr>
              <w:t>URL</w:t>
            </w:r>
          </w:p>
        </w:tc>
        <w:tc>
          <w:tcPr>
            <w:tcW w:w="6318" w:type="dxa"/>
          </w:tcPr>
          <w:p w:rsidR="00F47F1E" w:rsidRDefault="000F075E">
            <w:pPr>
              <w:spacing w:after="0" w:line="276" w:lineRule="auto"/>
              <w:jc w:val="both"/>
              <w:rPr>
                <w:rFonts w:ascii="Gill Sans" w:eastAsia="Gill Sans" w:hAnsi="Gill Sans" w:cs="Gill Sans"/>
              </w:rPr>
            </w:pPr>
            <w:hyperlink r:id="rId8">
              <w:r>
                <w:rPr>
                  <w:rFonts w:ascii="Gill Sans" w:eastAsia="Gill Sans" w:hAnsi="Gill Sans" w:cs="Gill Sans"/>
                  <w:color w:val="0563C1"/>
                  <w:u w:val="single"/>
                </w:rPr>
                <w:t>https://lawlibrary.org.za/akn/za/judgment/zast/2023/1/eng@2023-01-03</w:t>
              </w:r>
            </w:hyperlink>
            <w:r>
              <w:rPr>
                <w:rFonts w:ascii="Gill Sans" w:eastAsia="Gill Sans" w:hAnsi="Gill Sans" w:cs="Gill Sans"/>
              </w:rPr>
              <w:t xml:space="preserve"> </w:t>
            </w:r>
          </w:p>
        </w:tc>
      </w:tr>
      <w:tr w:rsidR="00F47F1E">
        <w:tc>
          <w:tcPr>
            <w:tcW w:w="2689" w:type="dxa"/>
          </w:tcPr>
          <w:p w:rsidR="00F47F1E" w:rsidRDefault="000F075E">
            <w:pPr>
              <w:spacing w:after="0" w:line="276" w:lineRule="auto"/>
              <w:jc w:val="both"/>
              <w:rPr>
                <w:rFonts w:ascii="Gill Sans" w:eastAsia="Gill Sans" w:hAnsi="Gill Sans" w:cs="Gill Sans"/>
              </w:rPr>
            </w:pPr>
            <w:r>
              <w:rPr>
                <w:rFonts w:ascii="Gill Sans" w:eastAsia="Gill Sans" w:hAnsi="Gill Sans" w:cs="Gill Sans"/>
              </w:rPr>
              <w:t>Citations</w:t>
            </w:r>
          </w:p>
        </w:tc>
        <w:tc>
          <w:tcPr>
            <w:tcW w:w="6318" w:type="dxa"/>
          </w:tcPr>
          <w:p w:rsidR="00F47F1E" w:rsidRDefault="000F075E">
            <w:pPr>
              <w:spacing w:after="0" w:line="276" w:lineRule="auto"/>
              <w:jc w:val="both"/>
              <w:rPr>
                <w:rFonts w:ascii="Gill Sans" w:eastAsia="Gill Sans" w:hAnsi="Gill Sans" w:cs="Gill Sans"/>
              </w:rPr>
            </w:pPr>
            <w:r>
              <w:rPr>
                <w:rFonts w:ascii="Gill Sans" w:eastAsia="Gill Sans" w:hAnsi="Gill Sans" w:cs="Gill Sans"/>
              </w:rPr>
              <w:t>(GP/01/2022) [2023] ZAST 1</w:t>
            </w:r>
          </w:p>
        </w:tc>
      </w:tr>
      <w:tr w:rsidR="00F47F1E">
        <w:tc>
          <w:tcPr>
            <w:tcW w:w="2689" w:type="dxa"/>
          </w:tcPr>
          <w:p w:rsidR="00F47F1E" w:rsidRDefault="000F075E">
            <w:pPr>
              <w:spacing w:after="0" w:line="276" w:lineRule="auto"/>
              <w:jc w:val="both"/>
              <w:rPr>
                <w:rFonts w:ascii="Gill Sans" w:eastAsia="Gill Sans" w:hAnsi="Gill Sans" w:cs="Gill Sans"/>
              </w:rPr>
            </w:pPr>
            <w:r>
              <w:rPr>
                <w:rFonts w:ascii="Gill Sans" w:eastAsia="Gill Sans" w:hAnsi="Gill Sans" w:cs="Gill Sans"/>
              </w:rPr>
              <w:t>Date of judgment</w:t>
            </w:r>
          </w:p>
        </w:tc>
        <w:tc>
          <w:tcPr>
            <w:tcW w:w="6318" w:type="dxa"/>
          </w:tcPr>
          <w:p w:rsidR="00F47F1E" w:rsidRDefault="000F075E">
            <w:pPr>
              <w:spacing w:after="0" w:line="276" w:lineRule="auto"/>
              <w:jc w:val="both"/>
              <w:rPr>
                <w:rFonts w:ascii="Gill Sans" w:eastAsia="Gill Sans" w:hAnsi="Gill Sans" w:cs="Gill Sans"/>
              </w:rPr>
            </w:pPr>
            <w:r>
              <w:rPr>
                <w:rFonts w:ascii="Gill Sans" w:eastAsia="Gill Sans" w:hAnsi="Gill Sans" w:cs="Gill Sans"/>
              </w:rPr>
              <w:t>3 January 2023</w:t>
            </w:r>
          </w:p>
        </w:tc>
      </w:tr>
      <w:tr w:rsidR="00F47F1E">
        <w:tc>
          <w:tcPr>
            <w:tcW w:w="2689" w:type="dxa"/>
          </w:tcPr>
          <w:p w:rsidR="00F47F1E" w:rsidRDefault="000F075E">
            <w:pPr>
              <w:spacing w:after="0" w:line="276"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Keyword(s):</w:t>
            </w:r>
            <w:r>
              <w:rPr>
                <w:rFonts w:ascii="Gill Sans" w:eastAsia="Gill Sans" w:hAnsi="Gill Sans" w:cs="Gill Sans"/>
                <w:color w:val="000000"/>
                <w:sz w:val="24"/>
                <w:szCs w:val="24"/>
                <w:vertAlign w:val="superscript"/>
              </w:rPr>
              <w:footnoteReference w:id="1"/>
            </w:r>
          </w:p>
        </w:tc>
        <w:tc>
          <w:tcPr>
            <w:tcW w:w="6318" w:type="dxa"/>
          </w:tcPr>
          <w:p w:rsidR="00F47F1E" w:rsidRDefault="000F075E">
            <w:pPr>
              <w:spacing w:after="0" w:line="276" w:lineRule="auto"/>
              <w:jc w:val="both"/>
              <w:rPr>
                <w:rFonts w:ascii="Gill Sans" w:eastAsia="Gill Sans" w:hAnsi="Gill Sans" w:cs="Gill Sans"/>
              </w:rPr>
            </w:pPr>
            <w:r>
              <w:rPr>
                <w:rFonts w:ascii="Gill Sans" w:eastAsia="Gill Sans" w:hAnsi="Gill Sans" w:cs="Gill Sans"/>
              </w:rPr>
              <w:t>Application, applicant, respondent, special tribunal, special investigating unit, interdict, disputed property, order, striking out, rescission, extension, preserve, preser</w:t>
            </w:r>
            <w:r>
              <w:rPr>
                <w:rFonts w:ascii="Gill Sans" w:eastAsia="Gill Sans" w:hAnsi="Gill Sans" w:cs="Gill Sans"/>
              </w:rPr>
              <w:t>vation order, grant funding, construction, service provider, proposal, feasibility study, grant agreement, performance, progress reports, bank statements, evidence, review application, case management meeting, unlawful activities, interests of justice, fai</w:t>
            </w:r>
            <w:r>
              <w:rPr>
                <w:rFonts w:ascii="Gill Sans" w:eastAsia="Gill Sans" w:hAnsi="Gill Sans" w:cs="Gill Sans"/>
              </w:rPr>
              <w:t xml:space="preserve">rness, equity, interpretation, power to extend, good cause, consent, lapsed, malpractice, maladministration, state institutions, settlement agreement, repay monies, irregular, fraudulent, prejudice, delay, explanation, </w:t>
            </w:r>
            <w:r>
              <w:rPr>
                <w:rFonts w:ascii="Gill Sans" w:eastAsia="Gill Sans" w:hAnsi="Gill Sans" w:cs="Gill Sans"/>
                <w:i/>
              </w:rPr>
              <w:t>ex parte</w:t>
            </w:r>
            <w:r>
              <w:rPr>
                <w:rFonts w:ascii="Gill Sans" w:eastAsia="Gill Sans" w:hAnsi="Gill Sans" w:cs="Gill Sans"/>
              </w:rPr>
              <w:t xml:space="preserve"> application, default judgement, proceeds from unlawful activities, condonation</w:t>
            </w:r>
          </w:p>
        </w:tc>
      </w:tr>
      <w:tr w:rsidR="00F47F1E">
        <w:tc>
          <w:tcPr>
            <w:tcW w:w="2689" w:type="dxa"/>
          </w:tcPr>
          <w:p w:rsidR="00F47F1E" w:rsidRDefault="000F075E">
            <w:pPr>
              <w:spacing w:after="0" w:line="276" w:lineRule="auto"/>
              <w:jc w:val="both"/>
              <w:rPr>
                <w:rFonts w:ascii="Gill Sans" w:eastAsia="Gill Sans" w:hAnsi="Gill Sans" w:cs="Gill Sans"/>
              </w:rPr>
            </w:pPr>
            <w:r>
              <w:rPr>
                <w:rFonts w:ascii="Gill Sans" w:eastAsia="Gill Sans" w:hAnsi="Gill Sans" w:cs="Gill Sans"/>
              </w:rPr>
              <w:t>Case type</w:t>
            </w:r>
            <w:r>
              <w:rPr>
                <w:rFonts w:ascii="Gill Sans" w:eastAsia="Gill Sans" w:hAnsi="Gill Sans" w:cs="Gill Sans"/>
                <w:vertAlign w:val="superscript"/>
              </w:rPr>
              <w:footnoteReference w:id="2"/>
            </w:r>
          </w:p>
        </w:tc>
        <w:tc>
          <w:tcPr>
            <w:tcW w:w="6318" w:type="dxa"/>
          </w:tcPr>
          <w:p w:rsidR="00F47F1E" w:rsidRDefault="000F075E">
            <w:pPr>
              <w:spacing w:after="0" w:line="276" w:lineRule="auto"/>
              <w:jc w:val="both"/>
              <w:rPr>
                <w:rFonts w:ascii="Gill Sans" w:eastAsia="Gill Sans" w:hAnsi="Gill Sans" w:cs="Gill Sans"/>
              </w:rPr>
            </w:pPr>
            <w:r>
              <w:rPr>
                <w:rFonts w:ascii="Gill Sans" w:eastAsia="Gill Sans" w:hAnsi="Gill Sans" w:cs="Gill Sans"/>
              </w:rPr>
              <w:t>Four applications</w:t>
            </w:r>
          </w:p>
        </w:tc>
      </w:tr>
      <w:tr w:rsidR="00F47F1E">
        <w:tc>
          <w:tcPr>
            <w:tcW w:w="2689" w:type="dxa"/>
          </w:tcPr>
          <w:p w:rsidR="00F47F1E" w:rsidRDefault="000F075E">
            <w:pPr>
              <w:spacing w:after="0" w:line="276" w:lineRule="auto"/>
              <w:jc w:val="both"/>
              <w:rPr>
                <w:rFonts w:ascii="Gill Sans" w:eastAsia="Gill Sans" w:hAnsi="Gill Sans" w:cs="Gill Sans"/>
              </w:rPr>
            </w:pPr>
            <w:r>
              <w:rPr>
                <w:rFonts w:ascii="Gill Sans" w:eastAsia="Gill Sans" w:hAnsi="Gill Sans" w:cs="Gill Sans"/>
              </w:rPr>
              <w:t>Result</w:t>
            </w:r>
          </w:p>
        </w:tc>
        <w:tc>
          <w:tcPr>
            <w:tcW w:w="6318" w:type="dxa"/>
          </w:tcPr>
          <w:p w:rsidR="00F47F1E" w:rsidRDefault="000F075E">
            <w:pPr>
              <w:spacing w:after="0" w:line="276" w:lineRule="auto"/>
              <w:jc w:val="both"/>
              <w:rPr>
                <w:rFonts w:ascii="Gill Sans" w:eastAsia="Gill Sans" w:hAnsi="Gill Sans" w:cs="Gill Sans"/>
              </w:rPr>
            </w:pPr>
            <w:r>
              <w:rPr>
                <w:rFonts w:ascii="Gill Sans" w:eastAsia="Gill Sans" w:hAnsi="Gill Sans" w:cs="Gill Sans"/>
              </w:rPr>
              <w:t>Condonation for late filing of the Extension Application by the SIU was granted, and the Preservation Order was revived. The Reconsiderati</w:t>
            </w:r>
            <w:r>
              <w:rPr>
                <w:rFonts w:ascii="Gill Sans" w:eastAsia="Gill Sans" w:hAnsi="Gill Sans" w:cs="Gill Sans"/>
              </w:rPr>
              <w:t xml:space="preserve">on Applications, the Application to Strike Out and the Application for Rescission were all dismissed. </w:t>
            </w:r>
          </w:p>
        </w:tc>
      </w:tr>
      <w:tr w:rsidR="00F47F1E">
        <w:tc>
          <w:tcPr>
            <w:tcW w:w="2689" w:type="dxa"/>
          </w:tcPr>
          <w:p w:rsidR="00F47F1E" w:rsidRDefault="000F075E">
            <w:pPr>
              <w:spacing w:after="0" w:line="276" w:lineRule="auto"/>
              <w:jc w:val="both"/>
              <w:rPr>
                <w:rFonts w:ascii="Gill Sans" w:eastAsia="Gill Sans" w:hAnsi="Gill Sans" w:cs="Gill Sans"/>
              </w:rPr>
            </w:pPr>
            <w:proofErr w:type="spellStart"/>
            <w:r>
              <w:rPr>
                <w:rFonts w:ascii="Gill Sans" w:eastAsia="Gill Sans" w:hAnsi="Gill Sans" w:cs="Gill Sans"/>
              </w:rPr>
              <w:t>Flynote</w:t>
            </w:r>
            <w:proofErr w:type="spellEnd"/>
            <w:r>
              <w:rPr>
                <w:rFonts w:ascii="Gill Sans" w:eastAsia="Gill Sans" w:hAnsi="Gill Sans" w:cs="Gill Sans"/>
                <w:vertAlign w:val="superscript"/>
              </w:rPr>
              <w:footnoteReference w:id="3"/>
            </w:r>
          </w:p>
        </w:tc>
        <w:tc>
          <w:tcPr>
            <w:tcW w:w="6318" w:type="dxa"/>
          </w:tcPr>
          <w:p w:rsidR="00F47F1E" w:rsidRDefault="000F075E">
            <w:pPr>
              <w:spacing w:after="0" w:line="276" w:lineRule="auto"/>
              <w:jc w:val="both"/>
              <w:rPr>
                <w:rFonts w:ascii="Gill Sans" w:eastAsia="Gill Sans" w:hAnsi="Gill Sans" w:cs="Gill Sans"/>
              </w:rPr>
            </w:pPr>
            <w:r>
              <w:rPr>
                <w:rFonts w:ascii="Gill Sans" w:eastAsia="Gill Sans" w:hAnsi="Gill Sans" w:cs="Gill Sans"/>
                <w:b/>
              </w:rPr>
              <w:t xml:space="preserve">Special Tribunal Proceedings </w:t>
            </w:r>
            <w:r>
              <w:rPr>
                <w:rFonts w:ascii="Gill Sans" w:eastAsia="Gill Sans" w:hAnsi="Gill Sans" w:cs="Gill Sans"/>
              </w:rPr>
              <w:t>– Extension of time – the Special Tribunal may, on good cause shown, extend any time period stipulated in an order</w:t>
            </w:r>
            <w:r>
              <w:rPr>
                <w:rFonts w:ascii="Gill Sans" w:eastAsia="Gill Sans" w:hAnsi="Gill Sans" w:cs="Gill Sans"/>
              </w:rPr>
              <w:t xml:space="preserve"> made by the Special Tribunal, and condone non-compliance with the Rules </w:t>
            </w:r>
          </w:p>
        </w:tc>
      </w:tr>
      <w:tr w:rsidR="00F47F1E">
        <w:tc>
          <w:tcPr>
            <w:tcW w:w="2689" w:type="dxa"/>
          </w:tcPr>
          <w:p w:rsidR="00F47F1E" w:rsidRDefault="000F075E">
            <w:pPr>
              <w:spacing w:after="0" w:line="276" w:lineRule="auto"/>
              <w:jc w:val="both"/>
              <w:rPr>
                <w:rFonts w:ascii="Gill Sans" w:eastAsia="Gill Sans" w:hAnsi="Gill Sans" w:cs="Gill Sans"/>
              </w:rPr>
            </w:pPr>
            <w:r>
              <w:rPr>
                <w:rFonts w:ascii="Gill Sans" w:eastAsia="Gill Sans" w:hAnsi="Gill Sans" w:cs="Gill Sans"/>
              </w:rPr>
              <w:t>Legislation and International Instruments</w:t>
            </w:r>
            <w:r>
              <w:rPr>
                <w:rFonts w:ascii="Gill Sans" w:eastAsia="Gill Sans" w:hAnsi="Gill Sans" w:cs="Gill Sans"/>
                <w:vertAlign w:val="superscript"/>
              </w:rPr>
              <w:footnoteReference w:id="4"/>
            </w:r>
          </w:p>
        </w:tc>
        <w:tc>
          <w:tcPr>
            <w:tcW w:w="6318" w:type="dxa"/>
          </w:tcPr>
          <w:p w:rsidR="00F47F1E" w:rsidRDefault="0028569B" w:rsidP="0028569B">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ab/>
            </w:r>
            <w:r w:rsidR="000F075E">
              <w:rPr>
                <w:rFonts w:ascii="Gill Sans" w:eastAsia="Gill Sans" w:hAnsi="Gill Sans" w:cs="Gill Sans"/>
                <w:color w:val="000000"/>
              </w:rPr>
              <w:t>Rules 14, 12 and 24 of the Special Tribunal’s Rules</w:t>
            </w:r>
          </w:p>
        </w:tc>
      </w:tr>
      <w:tr w:rsidR="00F47F1E">
        <w:tc>
          <w:tcPr>
            <w:tcW w:w="2689" w:type="dxa"/>
          </w:tcPr>
          <w:p w:rsidR="00F47F1E" w:rsidRDefault="000F075E">
            <w:pPr>
              <w:spacing w:after="0" w:line="276" w:lineRule="auto"/>
              <w:jc w:val="both"/>
              <w:rPr>
                <w:rFonts w:ascii="Gill Sans" w:eastAsia="Gill Sans" w:hAnsi="Gill Sans" w:cs="Gill Sans"/>
              </w:rPr>
            </w:pPr>
            <w:r>
              <w:rPr>
                <w:rFonts w:ascii="Gill Sans" w:eastAsia="Gill Sans" w:hAnsi="Gill Sans" w:cs="Gill Sans"/>
              </w:rPr>
              <w:t>Cases cited as authority</w:t>
            </w:r>
            <w:r>
              <w:rPr>
                <w:rFonts w:ascii="Gill Sans" w:eastAsia="Gill Sans" w:hAnsi="Gill Sans" w:cs="Gill Sans"/>
                <w:vertAlign w:val="superscript"/>
              </w:rPr>
              <w:footnoteReference w:id="5"/>
            </w:r>
          </w:p>
        </w:tc>
        <w:tc>
          <w:tcPr>
            <w:tcW w:w="6318" w:type="dxa"/>
          </w:tcPr>
          <w:p w:rsidR="00F47F1E" w:rsidRDefault="000F075E">
            <w:pPr>
              <w:pBdr>
                <w:top w:val="nil"/>
                <w:left w:val="nil"/>
                <w:bottom w:val="nil"/>
                <w:right w:val="nil"/>
                <w:between w:val="nil"/>
              </w:pBdr>
              <w:spacing w:after="0" w:line="276" w:lineRule="auto"/>
              <w:jc w:val="both"/>
              <w:rPr>
                <w:rFonts w:ascii="Gill Sans" w:eastAsia="Gill Sans" w:hAnsi="Gill Sans" w:cs="Gill Sans"/>
                <w:color w:val="000000"/>
              </w:rPr>
            </w:pPr>
            <w:r>
              <w:rPr>
                <w:rFonts w:ascii="Gill Sans" w:eastAsia="Gill Sans" w:hAnsi="Gill Sans" w:cs="Gill Sans"/>
                <w:color w:val="000000"/>
              </w:rPr>
              <w:t>n/a</w:t>
            </w:r>
          </w:p>
        </w:tc>
      </w:tr>
      <w:tr w:rsidR="00F47F1E">
        <w:tc>
          <w:tcPr>
            <w:tcW w:w="2689" w:type="dxa"/>
          </w:tcPr>
          <w:p w:rsidR="00F47F1E" w:rsidRDefault="000F075E">
            <w:pPr>
              <w:tabs>
                <w:tab w:val="right" w:pos="2473"/>
              </w:tabs>
              <w:spacing w:after="0" w:line="276" w:lineRule="auto"/>
              <w:jc w:val="both"/>
              <w:rPr>
                <w:rFonts w:ascii="Gill Sans" w:eastAsia="Gill Sans" w:hAnsi="Gill Sans" w:cs="Gill Sans"/>
              </w:rPr>
            </w:pPr>
            <w:r>
              <w:rPr>
                <w:rFonts w:ascii="Gill Sans" w:eastAsia="Gill Sans" w:hAnsi="Gill Sans" w:cs="Gill Sans"/>
              </w:rPr>
              <w:t>Facts</w:t>
            </w:r>
            <w:r>
              <w:rPr>
                <w:rFonts w:ascii="Gill Sans" w:eastAsia="Gill Sans" w:hAnsi="Gill Sans" w:cs="Gill Sans"/>
                <w:vertAlign w:val="superscript"/>
              </w:rPr>
              <w:footnoteReference w:id="6"/>
            </w:r>
            <w:r>
              <w:rPr>
                <w:rFonts w:ascii="Gill Sans" w:eastAsia="Gill Sans" w:hAnsi="Gill Sans" w:cs="Gill Sans"/>
              </w:rPr>
              <w:tab/>
            </w:r>
          </w:p>
          <w:p w:rsidR="00F47F1E" w:rsidRDefault="00F47F1E">
            <w:pPr>
              <w:tabs>
                <w:tab w:val="right" w:pos="2473"/>
              </w:tabs>
              <w:spacing w:after="0" w:line="276" w:lineRule="auto"/>
              <w:jc w:val="both"/>
              <w:rPr>
                <w:rFonts w:ascii="Gill Sans" w:eastAsia="Gill Sans" w:hAnsi="Gill Sans" w:cs="Gill Sans"/>
              </w:rPr>
            </w:pPr>
          </w:p>
        </w:tc>
        <w:tc>
          <w:tcPr>
            <w:tcW w:w="6318" w:type="dxa"/>
          </w:tcPr>
          <w:p w:rsidR="00F47F1E" w:rsidRDefault="000F075E">
            <w:pPr>
              <w:spacing w:after="0" w:line="276" w:lineRule="auto"/>
              <w:jc w:val="both"/>
              <w:rPr>
                <w:rFonts w:ascii="Gill Sans" w:eastAsia="Gill Sans" w:hAnsi="Gill Sans" w:cs="Gill Sans"/>
              </w:rPr>
            </w:pPr>
            <w:r>
              <w:rPr>
                <w:rFonts w:ascii="Gill Sans" w:eastAsia="Gill Sans" w:hAnsi="Gill Sans" w:cs="Gill Sans"/>
              </w:rPr>
              <w:t>The first respondent (</w:t>
            </w:r>
            <w:proofErr w:type="spellStart"/>
            <w:r>
              <w:rPr>
                <w:rFonts w:ascii="Gill Sans" w:eastAsia="Gill Sans" w:hAnsi="Gill Sans" w:cs="Gill Sans"/>
                <w:b/>
              </w:rPr>
              <w:t>Yokulinda</w:t>
            </w:r>
            <w:proofErr w:type="spellEnd"/>
            <w:r>
              <w:rPr>
                <w:rFonts w:ascii="Gill Sans" w:eastAsia="Gill Sans" w:hAnsi="Gill Sans" w:cs="Gill Sans"/>
              </w:rPr>
              <w:t xml:space="preserve">) had applied for grant funding from the thirteenth respondent, the National Lotteries Commission </w:t>
            </w:r>
            <w:r>
              <w:rPr>
                <w:rFonts w:ascii="Gill Sans" w:eastAsia="Gill Sans" w:hAnsi="Gill Sans" w:cs="Gill Sans"/>
              </w:rPr>
              <w:lastRenderedPageBreak/>
              <w:t>(</w:t>
            </w:r>
            <w:r>
              <w:rPr>
                <w:rFonts w:ascii="Gill Sans" w:eastAsia="Gill Sans" w:hAnsi="Gill Sans" w:cs="Gill Sans"/>
                <w:b/>
              </w:rPr>
              <w:t>NLC</w:t>
            </w:r>
            <w:r>
              <w:rPr>
                <w:rFonts w:ascii="Gill Sans" w:eastAsia="Gill Sans" w:hAnsi="Gill Sans" w:cs="Gill Sans"/>
              </w:rPr>
              <w:t>), for the construction of athletic tracks. Once the funding was approved, the fourth respondent (</w:t>
            </w:r>
            <w:proofErr w:type="spellStart"/>
            <w:r>
              <w:rPr>
                <w:rFonts w:ascii="Gill Sans" w:eastAsia="Gill Sans" w:hAnsi="Gill Sans" w:cs="Gill Sans"/>
                <w:b/>
              </w:rPr>
              <w:t>Unicus</w:t>
            </w:r>
            <w:proofErr w:type="spellEnd"/>
            <w:r>
              <w:rPr>
                <w:rFonts w:ascii="Gill Sans" w:eastAsia="Gill Sans" w:hAnsi="Gill Sans" w:cs="Gill Sans"/>
              </w:rPr>
              <w:t>) received a portion of the grant but did not perf</w:t>
            </w:r>
            <w:r>
              <w:rPr>
                <w:rFonts w:ascii="Gill Sans" w:eastAsia="Gill Sans" w:hAnsi="Gill Sans" w:cs="Gill Sans"/>
              </w:rPr>
              <w:t xml:space="preserve">orm in terms of the Grant Agreement. </w:t>
            </w:r>
            <w:proofErr w:type="spellStart"/>
            <w:r>
              <w:rPr>
                <w:rFonts w:ascii="Gill Sans" w:eastAsia="Gill Sans" w:hAnsi="Gill Sans" w:cs="Gill Sans"/>
              </w:rPr>
              <w:t>Yokulinda</w:t>
            </w:r>
            <w:proofErr w:type="spellEnd"/>
            <w:r>
              <w:rPr>
                <w:rFonts w:ascii="Gill Sans" w:eastAsia="Gill Sans" w:hAnsi="Gill Sans" w:cs="Gill Sans"/>
              </w:rPr>
              <w:t xml:space="preserve"> subsequently applied for and was granted additional funding from the NLC without being required to furnish any progress reports. The applicant, the Special Investigating Unit (</w:t>
            </w:r>
            <w:r>
              <w:rPr>
                <w:rFonts w:ascii="Gill Sans" w:eastAsia="Gill Sans" w:hAnsi="Gill Sans" w:cs="Gill Sans"/>
                <w:b/>
              </w:rPr>
              <w:t>SIU</w:t>
            </w:r>
            <w:r>
              <w:rPr>
                <w:rFonts w:ascii="Gill Sans" w:eastAsia="Gill Sans" w:hAnsi="Gill Sans" w:cs="Gill Sans"/>
              </w:rPr>
              <w:t xml:space="preserve">), found evidence that monies </w:t>
            </w:r>
            <w:r>
              <w:rPr>
                <w:rFonts w:ascii="Gill Sans" w:eastAsia="Gill Sans" w:hAnsi="Gill Sans" w:cs="Gill Sans"/>
              </w:rPr>
              <w:t xml:space="preserve">from the </w:t>
            </w:r>
            <w:proofErr w:type="spellStart"/>
            <w:r>
              <w:rPr>
                <w:rFonts w:ascii="Gill Sans" w:eastAsia="Gill Sans" w:hAnsi="Gill Sans" w:cs="Gill Sans"/>
              </w:rPr>
              <w:t>Unicus</w:t>
            </w:r>
            <w:proofErr w:type="spellEnd"/>
            <w:r>
              <w:rPr>
                <w:rFonts w:ascii="Gill Sans" w:eastAsia="Gill Sans" w:hAnsi="Gill Sans" w:cs="Gill Sans"/>
              </w:rPr>
              <w:t xml:space="preserve"> bank account has been utilised for various unlawful expenses and following the investigation, the SIU applied for the preservation order in the main application, to interdict or preserve the property and assets of the fifth, sixth, and seve</w:t>
            </w:r>
            <w:r>
              <w:rPr>
                <w:rFonts w:ascii="Gill Sans" w:eastAsia="Gill Sans" w:hAnsi="Gill Sans" w:cs="Gill Sans"/>
              </w:rPr>
              <w:t>nth respondents for their involvement in the unlawful activities. The Special Tribunal had granted the preservation order pending the institution of a review application by the SIU within 30 days of the date of the order (</w:t>
            </w:r>
            <w:r>
              <w:rPr>
                <w:rFonts w:ascii="Gill Sans" w:eastAsia="Gill Sans" w:hAnsi="Gill Sans" w:cs="Gill Sans"/>
                <w:b/>
              </w:rPr>
              <w:t>Preservation Order</w:t>
            </w:r>
            <w:r>
              <w:rPr>
                <w:rFonts w:ascii="Gill Sans" w:eastAsia="Gill Sans" w:hAnsi="Gill Sans" w:cs="Gill Sans"/>
              </w:rPr>
              <w:t>). As the SIU co</w:t>
            </w:r>
            <w:r>
              <w:rPr>
                <w:rFonts w:ascii="Gill Sans" w:eastAsia="Gill Sans" w:hAnsi="Gill Sans" w:cs="Gill Sans"/>
              </w:rPr>
              <w:t>uld not institute the review within the time prescribed by the order, an extension application was submitted in terms of Tribunal Rule 14 to condone non-compliance with the timeframes and an extension to file the review application (</w:t>
            </w:r>
            <w:r>
              <w:rPr>
                <w:rFonts w:ascii="Gill Sans" w:eastAsia="Gill Sans" w:hAnsi="Gill Sans" w:cs="Gill Sans"/>
                <w:b/>
              </w:rPr>
              <w:t>Extension Application</w:t>
            </w:r>
            <w:r>
              <w:rPr>
                <w:rFonts w:ascii="Gill Sans" w:eastAsia="Gill Sans" w:hAnsi="Gill Sans" w:cs="Gill Sans"/>
              </w:rPr>
              <w:t>).</w:t>
            </w:r>
            <w:r>
              <w:rPr>
                <w:rFonts w:ascii="Gill Sans" w:eastAsia="Gill Sans" w:hAnsi="Gill Sans" w:cs="Gill Sans"/>
              </w:rPr>
              <w:t xml:space="preserve"> The first to sixth, ninth and twelfth respondents applied for the Preservation Order to be reconsidered (</w:t>
            </w:r>
            <w:r>
              <w:rPr>
                <w:rFonts w:ascii="Gill Sans" w:eastAsia="Gill Sans" w:hAnsi="Gill Sans" w:cs="Gill Sans"/>
                <w:b/>
              </w:rPr>
              <w:t>Reconsideration Applications</w:t>
            </w:r>
            <w:r>
              <w:rPr>
                <w:rFonts w:ascii="Gill Sans" w:eastAsia="Gill Sans" w:hAnsi="Gill Sans" w:cs="Gill Sans"/>
              </w:rPr>
              <w:t xml:space="preserve">). </w:t>
            </w:r>
            <w:proofErr w:type="spellStart"/>
            <w:r>
              <w:rPr>
                <w:rFonts w:ascii="Gill Sans" w:eastAsia="Gill Sans" w:hAnsi="Gill Sans" w:cs="Gill Sans"/>
              </w:rPr>
              <w:t>Unicus</w:t>
            </w:r>
            <w:proofErr w:type="spellEnd"/>
            <w:r>
              <w:rPr>
                <w:rFonts w:ascii="Gill Sans" w:eastAsia="Gill Sans" w:hAnsi="Gill Sans" w:cs="Gill Sans"/>
              </w:rPr>
              <w:t xml:space="preserve"> and the fifth respondent applied to have parts of the founding affidavit struck out on the basis that it constituted inadmissible hearsay evidence (</w:t>
            </w:r>
            <w:r>
              <w:rPr>
                <w:rFonts w:ascii="Gill Sans" w:eastAsia="Gill Sans" w:hAnsi="Gill Sans" w:cs="Gill Sans"/>
                <w:b/>
              </w:rPr>
              <w:t>Application to Strike Out</w:t>
            </w:r>
            <w:r>
              <w:rPr>
                <w:rFonts w:ascii="Gill Sans" w:eastAsia="Gill Sans" w:hAnsi="Gill Sans" w:cs="Gill Sans"/>
              </w:rPr>
              <w:t>), and the seventh respondent sought to rescind the Preservation Order (</w:t>
            </w:r>
            <w:r>
              <w:rPr>
                <w:rFonts w:ascii="Gill Sans" w:eastAsia="Gill Sans" w:hAnsi="Gill Sans" w:cs="Gill Sans"/>
                <w:b/>
              </w:rPr>
              <w:t>R</w:t>
            </w:r>
            <w:r>
              <w:rPr>
                <w:rFonts w:ascii="Gill Sans" w:eastAsia="Gill Sans" w:hAnsi="Gill Sans" w:cs="Gill Sans"/>
                <w:b/>
              </w:rPr>
              <w:t>escission Application</w:t>
            </w:r>
            <w:r>
              <w:rPr>
                <w:rFonts w:ascii="Gill Sans" w:eastAsia="Gill Sans" w:hAnsi="Gill Sans" w:cs="Gill Sans"/>
              </w:rPr>
              <w:t xml:space="preserve">). </w:t>
            </w:r>
          </w:p>
        </w:tc>
      </w:tr>
      <w:tr w:rsidR="00F47F1E">
        <w:tc>
          <w:tcPr>
            <w:tcW w:w="2689" w:type="dxa"/>
          </w:tcPr>
          <w:p w:rsidR="00F47F1E" w:rsidRDefault="000F075E">
            <w:pPr>
              <w:spacing w:after="0" w:line="276" w:lineRule="auto"/>
              <w:jc w:val="both"/>
              <w:rPr>
                <w:rFonts w:ascii="Gill Sans" w:eastAsia="Gill Sans" w:hAnsi="Gill Sans" w:cs="Gill Sans"/>
              </w:rPr>
            </w:pPr>
            <w:r>
              <w:rPr>
                <w:rFonts w:ascii="Gill Sans" w:eastAsia="Gill Sans" w:hAnsi="Gill Sans" w:cs="Gill Sans"/>
              </w:rPr>
              <w:lastRenderedPageBreak/>
              <w:t>Summary</w:t>
            </w:r>
            <w:r>
              <w:rPr>
                <w:rFonts w:ascii="Gill Sans" w:eastAsia="Gill Sans" w:hAnsi="Gill Sans" w:cs="Gill Sans"/>
                <w:vertAlign w:val="superscript"/>
              </w:rPr>
              <w:footnoteReference w:id="7"/>
            </w:r>
          </w:p>
        </w:tc>
        <w:tc>
          <w:tcPr>
            <w:tcW w:w="6318" w:type="dxa"/>
          </w:tcPr>
          <w:p w:rsidR="00F47F1E" w:rsidRDefault="000F075E">
            <w:pPr>
              <w:spacing w:after="0" w:line="276" w:lineRule="auto"/>
              <w:jc w:val="both"/>
              <w:rPr>
                <w:rFonts w:ascii="Gill Sans" w:eastAsia="Gill Sans" w:hAnsi="Gill Sans" w:cs="Gill Sans"/>
              </w:rPr>
            </w:pPr>
            <w:bookmarkStart w:id="1" w:name="_heading=h.jnwmbrohwg7k" w:colFirst="0" w:colLast="0"/>
            <w:bookmarkEnd w:id="1"/>
            <w:r>
              <w:rPr>
                <w:rFonts w:ascii="Gill Sans" w:eastAsia="Gill Sans" w:hAnsi="Gill Sans" w:cs="Gill Sans"/>
              </w:rPr>
              <w:t>The Special Tribunal was asked to determine whether Tribunal Rule 14 permitted the Special Tribunal to condone non-compliance with time frames prescribed by an order, in this instance the Preservation Order. The Special T</w:t>
            </w:r>
            <w:r>
              <w:rPr>
                <w:rFonts w:ascii="Gill Sans" w:eastAsia="Gill Sans" w:hAnsi="Gill Sans" w:cs="Gill Sans"/>
              </w:rPr>
              <w:t>ribunal was also asked to determine whether there were any merits to the respondents objecting to the Preservation Order, whether the portions of the founding affidavit were inadmissible, and whether the Preservation Order as it related to the seventh resp</w:t>
            </w:r>
            <w:r>
              <w:rPr>
                <w:rFonts w:ascii="Gill Sans" w:eastAsia="Gill Sans" w:hAnsi="Gill Sans" w:cs="Gill Sans"/>
              </w:rPr>
              <w:t xml:space="preserve">ondent ought to be rescinded. </w:t>
            </w:r>
          </w:p>
        </w:tc>
      </w:tr>
      <w:tr w:rsidR="00F47F1E">
        <w:tc>
          <w:tcPr>
            <w:tcW w:w="2689" w:type="dxa"/>
          </w:tcPr>
          <w:p w:rsidR="00F47F1E" w:rsidRDefault="000F075E">
            <w:pPr>
              <w:spacing w:after="0" w:line="276" w:lineRule="auto"/>
              <w:jc w:val="both"/>
              <w:rPr>
                <w:rFonts w:ascii="Gill Sans" w:eastAsia="Gill Sans" w:hAnsi="Gill Sans" w:cs="Gill Sans"/>
              </w:rPr>
            </w:pPr>
            <w:r>
              <w:rPr>
                <w:rFonts w:ascii="Gill Sans" w:eastAsia="Gill Sans" w:hAnsi="Gill Sans" w:cs="Gill Sans"/>
              </w:rPr>
              <w:t>Decision/ Judgment</w:t>
            </w:r>
            <w:r>
              <w:rPr>
                <w:rFonts w:ascii="Gill Sans" w:eastAsia="Gill Sans" w:hAnsi="Gill Sans" w:cs="Gill Sans"/>
                <w:vertAlign w:val="superscript"/>
              </w:rPr>
              <w:footnoteReference w:id="8"/>
            </w:r>
          </w:p>
        </w:tc>
        <w:tc>
          <w:tcPr>
            <w:tcW w:w="6318" w:type="dxa"/>
          </w:tcPr>
          <w:p w:rsidR="00F47F1E" w:rsidRDefault="000F075E">
            <w:pPr>
              <w:spacing w:after="0"/>
              <w:jc w:val="both"/>
              <w:rPr>
                <w:rFonts w:ascii="Gill Sans" w:eastAsia="Gill Sans" w:hAnsi="Gill Sans" w:cs="Gill Sans"/>
              </w:rPr>
            </w:pPr>
            <w:r>
              <w:rPr>
                <w:rFonts w:ascii="Gill Sans" w:eastAsia="Gill Sans" w:hAnsi="Gill Sans" w:cs="Gill Sans"/>
              </w:rPr>
              <w:t>The Special Tribunal condoned the late filing of the Extension Application sought by the SIU in terms of Tribunal Rule 14, and the Preservation Order was revived. The SIU was ordered to institute the revi</w:t>
            </w:r>
            <w:r>
              <w:rPr>
                <w:rFonts w:ascii="Gill Sans" w:eastAsia="Gill Sans" w:hAnsi="Gill Sans" w:cs="Gill Sans"/>
              </w:rPr>
              <w:t xml:space="preserve">ew proceedings within 30 days of the present order. The </w:t>
            </w:r>
            <w:r>
              <w:rPr>
                <w:rFonts w:ascii="Gill Sans" w:eastAsia="Gill Sans" w:hAnsi="Gill Sans" w:cs="Gill Sans"/>
              </w:rPr>
              <w:lastRenderedPageBreak/>
              <w:t xml:space="preserve">Special Tribunal, however, dismissed the Reconsideration Applications, Application to Strike Out, and Rescission Application sought by the various respondents. </w:t>
            </w:r>
          </w:p>
        </w:tc>
      </w:tr>
      <w:tr w:rsidR="00F47F1E">
        <w:tc>
          <w:tcPr>
            <w:tcW w:w="2689" w:type="dxa"/>
          </w:tcPr>
          <w:p w:rsidR="00F47F1E" w:rsidRDefault="000F075E">
            <w:pPr>
              <w:spacing w:after="0" w:line="276" w:lineRule="auto"/>
              <w:jc w:val="both"/>
              <w:rPr>
                <w:rFonts w:ascii="Gill Sans" w:eastAsia="Gill Sans" w:hAnsi="Gill Sans" w:cs="Gill Sans"/>
              </w:rPr>
            </w:pPr>
            <w:r>
              <w:rPr>
                <w:rFonts w:ascii="Gill Sans" w:eastAsia="Gill Sans" w:hAnsi="Gill Sans" w:cs="Gill Sans"/>
              </w:rPr>
              <w:lastRenderedPageBreak/>
              <w:t>Basis of the decision</w:t>
            </w:r>
            <w:r>
              <w:rPr>
                <w:rFonts w:ascii="Gill Sans" w:eastAsia="Gill Sans" w:hAnsi="Gill Sans" w:cs="Gill Sans"/>
                <w:vertAlign w:val="superscript"/>
              </w:rPr>
              <w:footnoteReference w:id="9"/>
            </w:r>
          </w:p>
        </w:tc>
        <w:tc>
          <w:tcPr>
            <w:tcW w:w="6318" w:type="dxa"/>
          </w:tcPr>
          <w:p w:rsidR="00F47F1E" w:rsidRDefault="000F075E">
            <w:pPr>
              <w:spacing w:after="0" w:line="276" w:lineRule="auto"/>
              <w:jc w:val="both"/>
              <w:rPr>
                <w:rFonts w:ascii="Gill Sans" w:eastAsia="Gill Sans" w:hAnsi="Gill Sans" w:cs="Gill Sans"/>
              </w:rPr>
            </w:pPr>
            <w:r>
              <w:rPr>
                <w:rFonts w:ascii="Gill Sans" w:eastAsia="Gill Sans" w:hAnsi="Gill Sans" w:cs="Gill Sans"/>
              </w:rPr>
              <w:t>In terms of the</w:t>
            </w:r>
            <w:r>
              <w:rPr>
                <w:rFonts w:ascii="Gill Sans" w:eastAsia="Gill Sans" w:hAnsi="Gill Sans" w:cs="Gill Sans"/>
              </w:rPr>
              <w:t xml:space="preserve"> Extension Application, the Special Tribunal was satisfied with the SIU’s explanation regarding the reasons for the delay and found that, in the interests of justice, the Extension Application ought to be granted. The Special Tribunal also held that Rule 1</w:t>
            </w:r>
            <w:r>
              <w:rPr>
                <w:rFonts w:ascii="Gill Sans" w:eastAsia="Gill Sans" w:hAnsi="Gill Sans" w:cs="Gill Sans"/>
              </w:rPr>
              <w:t xml:space="preserve">4 ought to be interpreted to enable the Special Tribunal to extend any period, on good cause shown, including any period stipulated by the Special Tribunal in an order. </w:t>
            </w:r>
          </w:p>
          <w:p w:rsidR="00F47F1E" w:rsidRDefault="00F47F1E">
            <w:pPr>
              <w:spacing w:after="0" w:line="276" w:lineRule="auto"/>
              <w:jc w:val="both"/>
              <w:rPr>
                <w:rFonts w:ascii="Gill Sans" w:eastAsia="Gill Sans" w:hAnsi="Gill Sans" w:cs="Gill Sans"/>
              </w:rPr>
            </w:pPr>
          </w:p>
          <w:p w:rsidR="00F47F1E" w:rsidRDefault="000F075E">
            <w:pPr>
              <w:spacing w:after="0" w:line="276" w:lineRule="auto"/>
              <w:jc w:val="both"/>
              <w:rPr>
                <w:rFonts w:ascii="Gill Sans" w:eastAsia="Gill Sans" w:hAnsi="Gill Sans" w:cs="Gill Sans"/>
              </w:rPr>
            </w:pPr>
            <w:r>
              <w:rPr>
                <w:rFonts w:ascii="Gill Sans" w:eastAsia="Gill Sans" w:hAnsi="Gill Sans" w:cs="Gill Sans"/>
              </w:rPr>
              <w:t>In terms of the Reconsideration Applications, the Special Tribunal found that the obj</w:t>
            </w:r>
            <w:r>
              <w:rPr>
                <w:rFonts w:ascii="Gill Sans" w:eastAsia="Gill Sans" w:hAnsi="Gill Sans" w:cs="Gill Sans"/>
              </w:rPr>
              <w:t xml:space="preserve">ections raised by the respondents did not take their respective cases any further, and were therefore dismissed. </w:t>
            </w:r>
          </w:p>
          <w:p w:rsidR="00F47F1E" w:rsidRDefault="00F47F1E">
            <w:pPr>
              <w:spacing w:after="0" w:line="276" w:lineRule="auto"/>
              <w:jc w:val="both"/>
              <w:rPr>
                <w:rFonts w:ascii="Gill Sans" w:eastAsia="Gill Sans" w:hAnsi="Gill Sans" w:cs="Gill Sans"/>
              </w:rPr>
            </w:pPr>
          </w:p>
          <w:p w:rsidR="00F47F1E" w:rsidRDefault="000F075E">
            <w:pPr>
              <w:spacing w:after="0" w:line="276" w:lineRule="auto"/>
              <w:jc w:val="both"/>
              <w:rPr>
                <w:rFonts w:ascii="Gill Sans" w:eastAsia="Gill Sans" w:hAnsi="Gill Sans" w:cs="Gill Sans"/>
              </w:rPr>
            </w:pPr>
            <w:r>
              <w:rPr>
                <w:rFonts w:ascii="Gill Sans" w:eastAsia="Gill Sans" w:hAnsi="Gill Sans" w:cs="Gill Sans"/>
              </w:rPr>
              <w:t>In terms of the Application to Strike Out, the Special Tribunal found these to be misguided and without merit and was therefore also dismisse</w:t>
            </w:r>
            <w:r>
              <w:rPr>
                <w:rFonts w:ascii="Gill Sans" w:eastAsia="Gill Sans" w:hAnsi="Gill Sans" w:cs="Gill Sans"/>
              </w:rPr>
              <w:t xml:space="preserve">d. </w:t>
            </w:r>
          </w:p>
          <w:p w:rsidR="00F47F1E" w:rsidRDefault="00F47F1E">
            <w:pPr>
              <w:spacing w:after="0" w:line="276" w:lineRule="auto"/>
              <w:jc w:val="both"/>
              <w:rPr>
                <w:rFonts w:ascii="Gill Sans" w:eastAsia="Gill Sans" w:hAnsi="Gill Sans" w:cs="Gill Sans"/>
              </w:rPr>
            </w:pPr>
          </w:p>
          <w:p w:rsidR="00F47F1E" w:rsidRDefault="000F075E">
            <w:pPr>
              <w:spacing w:after="0" w:line="276" w:lineRule="auto"/>
              <w:jc w:val="both"/>
              <w:rPr>
                <w:rFonts w:ascii="Gill Sans" w:eastAsia="Gill Sans" w:hAnsi="Gill Sans" w:cs="Gill Sans"/>
              </w:rPr>
            </w:pPr>
            <w:r>
              <w:rPr>
                <w:rFonts w:ascii="Gill Sans" w:eastAsia="Gill Sans" w:hAnsi="Gill Sans" w:cs="Gill Sans"/>
              </w:rPr>
              <w:t>Finally, in terms of the Rescission Application, the Special Tribunal found that the respondent had relied on the incorrect rules and, as it was already admitted that unlawful funds had been used to purchase a car for the respondent, the application was al</w:t>
            </w:r>
            <w:r>
              <w:rPr>
                <w:rFonts w:ascii="Gill Sans" w:eastAsia="Gill Sans" w:hAnsi="Gill Sans" w:cs="Gill Sans"/>
              </w:rPr>
              <w:t xml:space="preserve">so found to be misguided and dismissed. </w:t>
            </w:r>
          </w:p>
        </w:tc>
      </w:tr>
      <w:tr w:rsidR="00F47F1E">
        <w:tc>
          <w:tcPr>
            <w:tcW w:w="2689" w:type="dxa"/>
          </w:tcPr>
          <w:p w:rsidR="00F47F1E" w:rsidRDefault="000F075E">
            <w:pPr>
              <w:spacing w:after="0" w:line="276" w:lineRule="auto"/>
              <w:jc w:val="both"/>
              <w:rPr>
                <w:rFonts w:ascii="Gill Sans" w:eastAsia="Gill Sans" w:hAnsi="Gill Sans" w:cs="Gill Sans"/>
              </w:rPr>
            </w:pPr>
            <w:r>
              <w:rPr>
                <w:rFonts w:ascii="Gill Sans" w:eastAsia="Gill Sans" w:hAnsi="Gill Sans" w:cs="Gill Sans"/>
              </w:rPr>
              <w:t>Reported by</w:t>
            </w:r>
          </w:p>
          <w:p w:rsidR="00F47F1E" w:rsidRDefault="000F075E">
            <w:pPr>
              <w:spacing w:after="0" w:line="276" w:lineRule="auto"/>
              <w:jc w:val="both"/>
              <w:rPr>
                <w:rFonts w:ascii="Gill Sans" w:eastAsia="Gill Sans" w:hAnsi="Gill Sans" w:cs="Gill Sans"/>
              </w:rPr>
            </w:pPr>
            <w:r>
              <w:rPr>
                <w:rFonts w:ascii="Gill Sans" w:eastAsia="Gill Sans" w:hAnsi="Gill Sans" w:cs="Gill Sans"/>
              </w:rPr>
              <w:t>Date</w:t>
            </w:r>
          </w:p>
        </w:tc>
        <w:tc>
          <w:tcPr>
            <w:tcW w:w="6318" w:type="dxa"/>
          </w:tcPr>
          <w:p w:rsidR="00F47F1E" w:rsidRDefault="000F075E">
            <w:pPr>
              <w:spacing w:after="0" w:line="276" w:lineRule="auto"/>
              <w:jc w:val="both"/>
              <w:rPr>
                <w:rFonts w:ascii="Gill Sans" w:eastAsia="Gill Sans" w:hAnsi="Gill Sans" w:cs="Gill Sans"/>
              </w:rPr>
            </w:pPr>
            <w:r>
              <w:rPr>
                <w:rFonts w:ascii="Gill Sans" w:eastAsia="Gill Sans" w:hAnsi="Gill Sans" w:cs="Gill Sans"/>
              </w:rPr>
              <w:t>African Legal Information Institute (</w:t>
            </w:r>
            <w:proofErr w:type="spellStart"/>
            <w:r>
              <w:fldChar w:fldCharType="begin"/>
            </w:r>
            <w:r>
              <w:instrText xml:space="preserve"> HYPERLINK "https://africanlii.org/" \h </w:instrText>
            </w:r>
            <w:r>
              <w:fldChar w:fldCharType="separate"/>
            </w:r>
            <w:r>
              <w:rPr>
                <w:rFonts w:ascii="Gill Sans" w:eastAsia="Gill Sans" w:hAnsi="Gill Sans" w:cs="Gill Sans"/>
                <w:color w:val="1155CC"/>
                <w:u w:val="single"/>
              </w:rPr>
              <w:t>AfricanLII</w:t>
            </w:r>
            <w:proofErr w:type="spellEnd"/>
            <w:r>
              <w:rPr>
                <w:rFonts w:ascii="Gill Sans" w:eastAsia="Gill Sans" w:hAnsi="Gill Sans" w:cs="Gill Sans"/>
                <w:color w:val="1155CC"/>
                <w:u w:val="single"/>
              </w:rPr>
              <w:fldChar w:fldCharType="end"/>
            </w:r>
            <w:r>
              <w:rPr>
                <w:rFonts w:ascii="Gill Sans" w:eastAsia="Gill Sans" w:hAnsi="Gill Sans" w:cs="Gill Sans"/>
              </w:rPr>
              <w:t>)</w:t>
            </w:r>
          </w:p>
          <w:p w:rsidR="00F47F1E" w:rsidRDefault="000F075E">
            <w:pPr>
              <w:spacing w:after="0" w:line="276" w:lineRule="auto"/>
              <w:jc w:val="both"/>
              <w:rPr>
                <w:rFonts w:ascii="Gill Sans" w:eastAsia="Gill Sans" w:hAnsi="Gill Sans" w:cs="Gill Sans"/>
              </w:rPr>
            </w:pPr>
            <w:r>
              <w:rPr>
                <w:rFonts w:ascii="Gill Sans" w:eastAsia="Gill Sans" w:hAnsi="Gill Sans" w:cs="Gill Sans"/>
              </w:rPr>
              <w:t>3 January 2023</w:t>
            </w:r>
          </w:p>
        </w:tc>
      </w:tr>
    </w:tbl>
    <w:p w:rsidR="00F47F1E" w:rsidRDefault="00F47F1E">
      <w:pPr>
        <w:spacing w:after="0" w:line="276" w:lineRule="auto"/>
        <w:jc w:val="both"/>
        <w:rPr>
          <w:rFonts w:ascii="Gill Sans" w:eastAsia="Gill Sans" w:hAnsi="Gill Sans" w:cs="Gill Sans"/>
        </w:rPr>
      </w:pPr>
    </w:p>
    <w:p w:rsidR="00F47F1E" w:rsidRDefault="00F47F1E">
      <w:pPr>
        <w:rPr>
          <w:rFonts w:ascii="Gill Sans" w:eastAsia="Gill Sans" w:hAnsi="Gill Sans" w:cs="Gill Sans"/>
        </w:rPr>
      </w:pPr>
    </w:p>
    <w:p w:rsidR="00F47F1E" w:rsidRDefault="00F47F1E"/>
    <w:p w:rsidR="00F47F1E" w:rsidRDefault="00F47F1E"/>
    <w:p w:rsidR="00F47F1E" w:rsidRDefault="00F47F1E"/>
    <w:sectPr w:rsidR="00F47F1E">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75E" w:rsidRDefault="000F075E">
      <w:pPr>
        <w:spacing w:after="0" w:line="240" w:lineRule="auto"/>
      </w:pPr>
      <w:r>
        <w:separator/>
      </w:r>
    </w:p>
  </w:endnote>
  <w:endnote w:type="continuationSeparator" w:id="0">
    <w:p w:rsidR="000F075E" w:rsidRDefault="000F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Gill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75E" w:rsidRDefault="000F075E">
      <w:pPr>
        <w:spacing w:after="0" w:line="240" w:lineRule="auto"/>
      </w:pPr>
      <w:r>
        <w:separator/>
      </w:r>
    </w:p>
  </w:footnote>
  <w:footnote w:type="continuationSeparator" w:id="0">
    <w:p w:rsidR="000F075E" w:rsidRDefault="000F075E">
      <w:pPr>
        <w:spacing w:after="0" w:line="240" w:lineRule="auto"/>
      </w:pPr>
      <w:r>
        <w:continuationSeparator/>
      </w:r>
    </w:p>
  </w:footnote>
  <w:footnote w:id="1">
    <w:p w:rsidR="00F47F1E" w:rsidRDefault="000F075E">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Clarify the type of issues that come up in the case.</w:t>
      </w:r>
    </w:p>
  </w:footnote>
  <w:footnote w:id="2">
    <w:p w:rsidR="00F47F1E" w:rsidRDefault="000F075E">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Whether Trial, Application or Appeal.</w:t>
      </w:r>
    </w:p>
  </w:footnote>
  <w:footnote w:id="3">
    <w:p w:rsidR="00F47F1E" w:rsidRDefault="000F075E">
      <w:pPr>
        <w:spacing w:after="0"/>
        <w:jc w:val="both"/>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w:t>
      </w:r>
      <w:r>
        <w:rPr>
          <w:rFonts w:ascii="Gill Sans" w:eastAsia="Gill Sans" w:hAnsi="Gill Sans" w:cs="Gill Sans"/>
          <w:b/>
          <w:sz w:val="20"/>
          <w:szCs w:val="20"/>
        </w:rPr>
        <w:t>Area of law</w:t>
      </w:r>
      <w:r>
        <w:rPr>
          <w:rFonts w:ascii="Gill Sans" w:eastAsia="Gill Sans" w:hAnsi="Gill Sans" w:cs="Gill Sans"/>
          <w:sz w:val="20"/>
          <w:szCs w:val="20"/>
        </w:rPr>
        <w:t xml:space="preserve"> - topic – subtopic. </w:t>
      </w:r>
    </w:p>
  </w:footnote>
  <w:footnote w:id="4">
    <w:p w:rsidR="00F47F1E" w:rsidRDefault="000F075E">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Legislation/ International instrument title and section numbers.</w:t>
      </w:r>
    </w:p>
  </w:footnote>
  <w:footnote w:id="5">
    <w:p w:rsidR="00F47F1E" w:rsidRDefault="000F075E">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List of cases considered to be </w:t>
      </w:r>
      <w:r>
        <w:rPr>
          <w:rFonts w:ascii="Gill Sans" w:eastAsia="Gill Sans" w:hAnsi="Gill Sans" w:cs="Gill Sans"/>
          <w:color w:val="000000"/>
          <w:sz w:val="20"/>
          <w:szCs w:val="20"/>
          <w:u w:val="single"/>
        </w:rPr>
        <w:t>important precedent</w:t>
      </w:r>
      <w:r>
        <w:rPr>
          <w:rFonts w:ascii="Gill Sans" w:eastAsia="Gill Sans" w:hAnsi="Gill Sans" w:cs="Gill Sans"/>
          <w:color w:val="000000"/>
          <w:sz w:val="20"/>
          <w:szCs w:val="20"/>
        </w:rPr>
        <w:t xml:space="preserve"> (case name and citation).</w:t>
      </w:r>
    </w:p>
  </w:footnote>
  <w:footnote w:id="6">
    <w:p w:rsidR="00F47F1E" w:rsidRDefault="000F075E">
      <w:pPr>
        <w:spacing w:after="0"/>
        <w:jc w:val="both"/>
        <w:rPr>
          <w:rFonts w:ascii="Gill Sans" w:eastAsia="Gill Sans" w:hAnsi="Gill Sans" w:cs="Gill Sans"/>
          <w:i/>
          <w:color w:val="000000"/>
          <w:sz w:val="20"/>
          <w:szCs w:val="20"/>
        </w:rPr>
      </w:pPr>
      <w:r>
        <w:rPr>
          <w:rStyle w:val="FootnoteReference"/>
        </w:rPr>
        <w:footnoteRef/>
      </w:r>
      <w:r>
        <w:rPr>
          <w:rFonts w:ascii="Gill Sans" w:eastAsia="Gill Sans" w:hAnsi="Gill Sans" w:cs="Gill Sans"/>
          <w:sz w:val="20"/>
          <w:szCs w:val="20"/>
        </w:rPr>
        <w:t xml:space="preserve"> Brief facts about the case (max 150 words).</w:t>
      </w:r>
    </w:p>
  </w:footnote>
  <w:footnote w:id="7">
    <w:p w:rsidR="00F47F1E" w:rsidRDefault="000F075E">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Summary of the determination of legal questions and/or grounds of appeal (between 150-250 words).</w:t>
      </w:r>
    </w:p>
  </w:footnote>
  <w:footnote w:id="8">
    <w:p w:rsidR="00F47F1E" w:rsidRDefault="000F075E">
      <w:pPr>
        <w:spacing w:after="0"/>
        <w:jc w:val="both"/>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A brief summary of the ruling/judgment of the court (max 100 words).</w:t>
      </w:r>
    </w:p>
  </w:footnote>
  <w:footnote w:id="9">
    <w:p w:rsidR="00F47F1E" w:rsidRDefault="000F075E">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A 1-2 sentence summary of the basis of</w:t>
      </w:r>
      <w:r>
        <w:rPr>
          <w:rFonts w:ascii="Gill Sans" w:eastAsia="Gill Sans" w:hAnsi="Gill Sans" w:cs="Gill Sans"/>
          <w:color w:val="000000"/>
          <w:sz w:val="20"/>
          <w:szCs w:val="20"/>
        </w:rPr>
        <w:t xml:space="preserve"> the decision (i.e. which legal rules were relied 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33868"/>
    <w:multiLevelType w:val="multilevel"/>
    <w:tmpl w:val="33C8E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1E"/>
    <w:rsid w:val="000F075E"/>
    <w:rsid w:val="0028569B"/>
    <w:rsid w:val="00F47F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03937-12B6-44B3-B672-F6C4D138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BC2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A8F"/>
    <w:rPr>
      <w:sz w:val="20"/>
      <w:szCs w:val="20"/>
    </w:rPr>
  </w:style>
  <w:style w:type="character" w:styleId="FootnoteReference">
    <w:name w:val="footnote reference"/>
    <w:basedOn w:val="DefaultParagraphFont"/>
    <w:uiPriority w:val="99"/>
    <w:semiHidden/>
    <w:unhideWhenUsed/>
    <w:rsid w:val="00BC2A8F"/>
    <w:rPr>
      <w:vertAlign w:val="superscript"/>
    </w:rPr>
  </w:style>
  <w:style w:type="character" w:styleId="Hyperlink">
    <w:name w:val="Hyperlink"/>
    <w:basedOn w:val="DefaultParagraphFont"/>
    <w:uiPriority w:val="99"/>
    <w:unhideWhenUsed/>
    <w:rsid w:val="0086477B"/>
    <w:rPr>
      <w:color w:val="0563C1" w:themeColor="hyperlink"/>
      <w:u w:val="single"/>
    </w:rPr>
  </w:style>
  <w:style w:type="character" w:styleId="Strong">
    <w:name w:val="Strong"/>
    <w:basedOn w:val="DefaultParagraphFont"/>
    <w:uiPriority w:val="22"/>
    <w:qFormat/>
    <w:rsid w:val="0086477B"/>
    <w:rPr>
      <w:b/>
      <w:bCs/>
    </w:rPr>
  </w:style>
  <w:style w:type="paragraph" w:styleId="ListParagraph">
    <w:name w:val="List Paragraph"/>
    <w:basedOn w:val="Normal"/>
    <w:uiPriority w:val="34"/>
    <w:qFormat/>
    <w:rsid w:val="0086477B"/>
    <w:pPr>
      <w:ind w:left="720"/>
      <w:contextualSpacing/>
    </w:pPr>
  </w:style>
  <w:style w:type="paragraph" w:styleId="NormalWeb">
    <w:name w:val="Normal (Web)"/>
    <w:basedOn w:val="Normal"/>
    <w:uiPriority w:val="99"/>
    <w:unhideWhenUsed/>
    <w:rsid w:val="008634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34AD"/>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73606D"/>
    <w:rPr>
      <w:color w:val="605E5C"/>
      <w:shd w:val="clear" w:color="auto" w:fill="E1DFDD"/>
    </w:r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wlibrary.org.za/akn/za/judgment/zast/2023/1/eng@2023-01-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NzDQAb05fpgXsk0aVztlgPvr8g==">AMUW2mUKvLw3SFm0qWea+CpFJS2GwXGdd6VDkoOiz043t9M32P4GeCcPbGWupm91MNZp2QECHAMPcKOONF47+Smdskw33UWGW96jF4UCRpwUapMS55vgsffJ23B8z+Q3F3e+weC9oTUr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Nyehita</dc:creator>
  <cp:lastModifiedBy>Mary Bruce</cp:lastModifiedBy>
  <cp:revision>2</cp:revision>
  <dcterms:created xsi:type="dcterms:W3CDTF">2024-01-08T10:11:00Z</dcterms:created>
  <dcterms:modified xsi:type="dcterms:W3CDTF">2024-01-08T10:11:00Z</dcterms:modified>
</cp:coreProperties>
</file>