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FDBC" w14:textId="77777777" w:rsidR="00CB5A66" w:rsidRDefault="00BD5A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SPECIAL TRIBUNAL OF SOUTH AFRICA</w:t>
      </w:r>
    </w:p>
    <w:p w14:paraId="7C5FE3BE" w14:textId="77777777" w:rsidR="00CB5A66" w:rsidRDefault="00BD5A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Judgment summary</w:t>
      </w:r>
    </w:p>
    <w:p w14:paraId="05B0F70C" w14:textId="77777777" w:rsidR="00CB5A66" w:rsidRDefault="00CB5A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</w:p>
    <w:tbl>
      <w:tblPr>
        <w:tblStyle w:val="a1"/>
        <w:tblW w:w="9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18"/>
      </w:tblGrid>
      <w:tr w:rsidR="00CB5A66" w14:paraId="7F6F6033" w14:textId="77777777">
        <w:tc>
          <w:tcPr>
            <w:tcW w:w="9007" w:type="dxa"/>
            <w:gridSpan w:val="2"/>
          </w:tcPr>
          <w:p w14:paraId="7102471F" w14:textId="5ADD12D4" w:rsidR="00CB5A66" w:rsidRDefault="000A400C">
            <w:pPr>
              <w:spacing w:after="0" w:line="276" w:lineRule="auto"/>
              <w:jc w:val="center"/>
              <w:rPr>
                <w:rFonts w:ascii="Gill Sans" w:eastAsia="Gill Sans" w:hAnsi="Gill Sans" w:cs="Gill Sans"/>
                <w:b/>
                <w:i/>
              </w:rPr>
            </w:pPr>
            <w:r w:rsidRPr="000A400C">
              <w:rPr>
                <w:rFonts w:ascii="Gill Sans" w:eastAsia="Gill Sans" w:hAnsi="Gill Sans" w:cs="Gill Sans"/>
                <w:b/>
                <w:i/>
              </w:rPr>
              <w:t>Special Investigating Unit and Another v LNG Scientific (Pty) Ltd; In re: LNG Scientific (Pty) Ltd v Special Investigating Unit and Another</w:t>
            </w:r>
          </w:p>
        </w:tc>
      </w:tr>
      <w:tr w:rsidR="00CB5A66" w14:paraId="3A2C1DA7" w14:textId="77777777">
        <w:tc>
          <w:tcPr>
            <w:tcW w:w="2689" w:type="dxa"/>
          </w:tcPr>
          <w:p w14:paraId="6ECA931D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URL</w:t>
            </w:r>
          </w:p>
        </w:tc>
        <w:tc>
          <w:tcPr>
            <w:tcW w:w="6318" w:type="dxa"/>
          </w:tcPr>
          <w:p w14:paraId="6C7AB2D9" w14:textId="4BD3C4A0" w:rsidR="00CB5A66" w:rsidRDefault="00AC3B87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hyperlink r:id="rId8" w:history="1">
              <w:r w:rsidR="00AF353A" w:rsidRPr="007464C4">
                <w:rPr>
                  <w:rStyle w:val="Hyperlink"/>
                  <w:rFonts w:ascii="Gill Sans" w:eastAsia="Gill Sans" w:hAnsi="Gill Sans" w:cs="Gill Sans"/>
                </w:rPr>
                <w:t>https://lawlibrary.org.za/index.php/za/judgment/special-tribunal-south-africa/2022/34</w:t>
              </w:r>
            </w:hyperlink>
            <w:r w:rsidR="00AF353A">
              <w:rPr>
                <w:rFonts w:ascii="Gill Sans" w:eastAsia="Gill Sans" w:hAnsi="Gill Sans" w:cs="Gill Sans"/>
              </w:rPr>
              <w:t xml:space="preserve"> </w:t>
            </w:r>
          </w:p>
        </w:tc>
      </w:tr>
      <w:tr w:rsidR="00CB5A66" w14:paraId="1F51E9A1" w14:textId="77777777">
        <w:tc>
          <w:tcPr>
            <w:tcW w:w="2689" w:type="dxa"/>
          </w:tcPr>
          <w:p w14:paraId="497A5C05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Citations</w:t>
            </w:r>
          </w:p>
        </w:tc>
        <w:tc>
          <w:tcPr>
            <w:tcW w:w="6318" w:type="dxa"/>
          </w:tcPr>
          <w:p w14:paraId="7629092D" w14:textId="1E603E74" w:rsidR="00CB5A66" w:rsidRDefault="00AF353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 w:rsidRPr="00AF353A">
              <w:rPr>
                <w:rFonts w:ascii="Gill Sans" w:eastAsia="Gill Sans" w:hAnsi="Gill Sans" w:cs="Gill Sans"/>
              </w:rPr>
              <w:t>(GP 3 of 2022) [2022] ZAST 34</w:t>
            </w:r>
          </w:p>
        </w:tc>
      </w:tr>
      <w:tr w:rsidR="00CB5A66" w14:paraId="07E67917" w14:textId="77777777">
        <w:tc>
          <w:tcPr>
            <w:tcW w:w="2689" w:type="dxa"/>
          </w:tcPr>
          <w:p w14:paraId="247C76B8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Date of judgment</w:t>
            </w:r>
          </w:p>
        </w:tc>
        <w:tc>
          <w:tcPr>
            <w:tcW w:w="6318" w:type="dxa"/>
          </w:tcPr>
          <w:p w14:paraId="55E33148" w14:textId="0BF4DC63" w:rsidR="00CB5A66" w:rsidRDefault="00AF353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29 June 2022</w:t>
            </w:r>
          </w:p>
        </w:tc>
      </w:tr>
      <w:tr w:rsidR="00CB5A66" w14:paraId="00537E7C" w14:textId="77777777">
        <w:tc>
          <w:tcPr>
            <w:tcW w:w="2689" w:type="dxa"/>
          </w:tcPr>
          <w:p w14:paraId="2FC02A58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  <w:color w:val="000000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color w:val="000000"/>
                <w:sz w:val="24"/>
                <w:szCs w:val="24"/>
              </w:rPr>
              <w:t>Keyword(s):</w:t>
            </w:r>
            <w:r>
              <w:rPr>
                <w:rFonts w:ascii="Gill Sans" w:eastAsia="Gill Sans" w:hAnsi="Gill Sans" w:cs="Gill Sans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318" w:type="dxa"/>
          </w:tcPr>
          <w:p w14:paraId="7A253447" w14:textId="4D58EBAE" w:rsidR="00CB5A66" w:rsidRDefault="00AF353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Review application, access to record of decision, self-review application, discovery of records, Tribunal Rule, Uniform Rules of the Court, interlocutory application, public procurement, personal protection equipment, administrative decision, prejudice</w:t>
            </w:r>
            <w:r w:rsidR="00F168CC">
              <w:rPr>
                <w:rFonts w:ascii="Gill Sans" w:eastAsia="Gill Sans" w:hAnsi="Gill Sans" w:cs="Gill Sans"/>
              </w:rPr>
              <w:t>, Covid-19 pandemic</w:t>
            </w:r>
            <w:r w:rsidR="00A80CF2">
              <w:rPr>
                <w:rFonts w:ascii="Gill Sans" w:eastAsia="Gill Sans" w:hAnsi="Gill Sans" w:cs="Gill Sans"/>
              </w:rPr>
              <w:t>, defective performance</w:t>
            </w:r>
            <w:r w:rsidR="00861677">
              <w:rPr>
                <w:rFonts w:ascii="Gill Sans" w:eastAsia="Gill Sans" w:hAnsi="Gill Sans" w:cs="Gill Sans"/>
              </w:rPr>
              <w:t>, procurement irregularities</w:t>
            </w:r>
          </w:p>
        </w:tc>
      </w:tr>
      <w:tr w:rsidR="00CB5A66" w14:paraId="025F6038" w14:textId="77777777">
        <w:tc>
          <w:tcPr>
            <w:tcW w:w="2689" w:type="dxa"/>
          </w:tcPr>
          <w:p w14:paraId="1E2803BC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Case type</w:t>
            </w:r>
            <w:r>
              <w:rPr>
                <w:rFonts w:ascii="Gill Sans" w:eastAsia="Gill Sans" w:hAnsi="Gill Sans" w:cs="Gill Sans"/>
                <w:vertAlign w:val="superscript"/>
              </w:rPr>
              <w:footnoteReference w:id="2"/>
            </w:r>
          </w:p>
        </w:tc>
        <w:tc>
          <w:tcPr>
            <w:tcW w:w="6318" w:type="dxa"/>
          </w:tcPr>
          <w:p w14:paraId="00240EFB" w14:textId="499F6DFC" w:rsidR="00CB5A66" w:rsidRDefault="00185BE2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Application </w:t>
            </w:r>
          </w:p>
        </w:tc>
      </w:tr>
      <w:tr w:rsidR="00CB5A66" w14:paraId="5A0DC7A7" w14:textId="77777777">
        <w:tc>
          <w:tcPr>
            <w:tcW w:w="2689" w:type="dxa"/>
          </w:tcPr>
          <w:p w14:paraId="1FFAFE31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Result</w:t>
            </w:r>
          </w:p>
        </w:tc>
        <w:tc>
          <w:tcPr>
            <w:tcW w:w="6318" w:type="dxa"/>
          </w:tcPr>
          <w:p w14:paraId="7AF66857" w14:textId="55E28DCD" w:rsidR="00CB5A66" w:rsidRDefault="00185BE2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Dismissed with costs in the course</w:t>
            </w:r>
          </w:p>
        </w:tc>
      </w:tr>
      <w:tr w:rsidR="00CB5A66" w14:paraId="3E37CE1D" w14:textId="77777777">
        <w:tc>
          <w:tcPr>
            <w:tcW w:w="2689" w:type="dxa"/>
          </w:tcPr>
          <w:p w14:paraId="5DB1456E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Flynote</w:t>
            </w:r>
            <w:r>
              <w:rPr>
                <w:rFonts w:ascii="Gill Sans" w:eastAsia="Gill Sans" w:hAnsi="Gill Sans" w:cs="Gill Sans"/>
                <w:vertAlign w:val="superscript"/>
              </w:rPr>
              <w:footnoteReference w:id="3"/>
            </w:r>
          </w:p>
        </w:tc>
        <w:tc>
          <w:tcPr>
            <w:tcW w:w="6318" w:type="dxa"/>
          </w:tcPr>
          <w:p w14:paraId="74C17F26" w14:textId="5BCA3974" w:rsidR="00CB5A66" w:rsidRDefault="00185BE2">
            <w:pPr>
              <w:spacing w:after="0" w:line="276" w:lineRule="auto"/>
              <w:jc w:val="both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 xml:space="preserve">Court rules </w:t>
            </w:r>
            <w:r>
              <w:rPr>
                <w:rFonts w:ascii="Gill Sans" w:eastAsia="Gill Sans" w:hAnsi="Gill Sans" w:cs="Gill Sans"/>
                <w:bCs/>
              </w:rPr>
              <w:t>–</w:t>
            </w:r>
            <w:r w:rsidRPr="00185BE2">
              <w:rPr>
                <w:rFonts w:ascii="Gill Sans" w:eastAsia="Gill Sans" w:hAnsi="Gill Sans" w:cs="Gill Sans"/>
                <w:bCs/>
              </w:rPr>
              <w:t xml:space="preserve"> </w:t>
            </w:r>
            <w:r>
              <w:rPr>
                <w:rFonts w:ascii="Gill Sans" w:eastAsia="Gill Sans" w:hAnsi="Gill Sans" w:cs="Gill Sans"/>
                <w:bCs/>
              </w:rPr>
              <w:t xml:space="preserve">review application – the obligation of a respondent to provide an applicant with access to record in a self-review application </w:t>
            </w:r>
          </w:p>
        </w:tc>
      </w:tr>
      <w:tr w:rsidR="00CB5A66" w14:paraId="132D8C07" w14:textId="77777777">
        <w:tc>
          <w:tcPr>
            <w:tcW w:w="2689" w:type="dxa"/>
          </w:tcPr>
          <w:p w14:paraId="7DEB0B5E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Legislation and International Instruments</w:t>
            </w:r>
            <w:r>
              <w:rPr>
                <w:rFonts w:ascii="Gill Sans" w:eastAsia="Gill Sans" w:hAnsi="Gill Sans" w:cs="Gill Sans"/>
                <w:vertAlign w:val="superscript"/>
              </w:rPr>
              <w:footnoteReference w:id="4"/>
            </w:r>
          </w:p>
        </w:tc>
        <w:tc>
          <w:tcPr>
            <w:tcW w:w="6318" w:type="dxa"/>
          </w:tcPr>
          <w:p w14:paraId="3AC9B580" w14:textId="4647EE49" w:rsidR="00CB5A66" w:rsidRDefault="007D0AED" w:rsidP="00185BE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Rule</w:t>
            </w:r>
            <w:r w:rsidR="00204E81">
              <w:rPr>
                <w:rFonts w:ascii="Gill Sans" w:eastAsia="Gill Sans" w:hAnsi="Gill Sans" w:cs="Gill Sans"/>
                <w:color w:val="000000"/>
              </w:rPr>
              <w:t>s</w:t>
            </w:r>
            <w:r>
              <w:rPr>
                <w:rFonts w:ascii="Gill Sans" w:eastAsia="Gill Sans" w:hAnsi="Gill Sans" w:cs="Gill Sans"/>
                <w:color w:val="000000"/>
              </w:rPr>
              <w:t xml:space="preserve"> 53</w:t>
            </w:r>
            <w:r w:rsidR="00204E81">
              <w:rPr>
                <w:rFonts w:ascii="Gill Sans" w:eastAsia="Gill Sans" w:hAnsi="Gill Sans" w:cs="Gill Sans"/>
                <w:color w:val="000000"/>
              </w:rPr>
              <w:t xml:space="preserve"> and 35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of the Uniform Rules of the Court  </w:t>
            </w:r>
          </w:p>
          <w:p w14:paraId="501D0190" w14:textId="77777777" w:rsidR="00204E81" w:rsidRDefault="00204E81" w:rsidP="00185BE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Tribunal Rule 10</w:t>
            </w:r>
          </w:p>
          <w:p w14:paraId="3D201760" w14:textId="2F206989" w:rsidR="00204E81" w:rsidRPr="00185BE2" w:rsidRDefault="00204E81" w:rsidP="00185BE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</w:t>
            </w:r>
            <w:r w:rsidRPr="00204E81">
              <w:rPr>
                <w:rFonts w:ascii="Gill Sans" w:eastAsia="Gill Sans" w:hAnsi="Gill Sans" w:cs="Gill Sans"/>
                <w:color w:val="000000"/>
              </w:rPr>
              <w:t>ection 4(1)(c)(i) read with section 5(5)</w:t>
            </w:r>
            <w:r>
              <w:rPr>
                <w:rFonts w:ascii="Gill Sans" w:eastAsia="Gill Sans" w:hAnsi="Gill Sans" w:cs="Gill Sans"/>
                <w:color w:val="000000"/>
              </w:rPr>
              <w:t>, and section 8(2)</w:t>
            </w:r>
            <w:r w:rsidRPr="00204E81">
              <w:rPr>
                <w:rFonts w:ascii="Gill Sans" w:eastAsia="Gill Sans" w:hAnsi="Gill Sans" w:cs="Gill Sans"/>
                <w:color w:val="000000"/>
              </w:rPr>
              <w:t xml:space="preserve"> of the Special Investigating Units and Special Tribunals Act</w:t>
            </w:r>
          </w:p>
        </w:tc>
      </w:tr>
      <w:tr w:rsidR="00CB5A66" w14:paraId="71EC4A8A" w14:textId="77777777">
        <w:tc>
          <w:tcPr>
            <w:tcW w:w="2689" w:type="dxa"/>
          </w:tcPr>
          <w:p w14:paraId="5561AD53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Cases cited as authority</w:t>
            </w:r>
            <w:r>
              <w:rPr>
                <w:rFonts w:ascii="Gill Sans" w:eastAsia="Gill Sans" w:hAnsi="Gill Sans" w:cs="Gill Sans"/>
                <w:vertAlign w:val="superscript"/>
              </w:rPr>
              <w:footnoteReference w:id="5"/>
            </w:r>
          </w:p>
        </w:tc>
        <w:tc>
          <w:tcPr>
            <w:tcW w:w="6318" w:type="dxa"/>
          </w:tcPr>
          <w:p w14:paraId="74D84D7C" w14:textId="77777777" w:rsidR="00CB5A66" w:rsidRDefault="00204E81" w:rsidP="00185BE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 w:rsidRPr="00204E81">
              <w:rPr>
                <w:rFonts w:ascii="Gill Sans" w:eastAsia="Gill Sans" w:hAnsi="Gill Sans" w:cs="Gill Sans"/>
                <w:i/>
                <w:iCs/>
                <w:color w:val="000000"/>
              </w:rPr>
              <w:t>Jockey Club of South Africa v Forbes</w:t>
            </w:r>
            <w:r w:rsidRPr="00204E81">
              <w:rPr>
                <w:rFonts w:ascii="Gill Sans" w:eastAsia="Gill Sans" w:hAnsi="Gill Sans" w:cs="Gill Sans"/>
                <w:color w:val="000000"/>
              </w:rPr>
              <w:t xml:space="preserve"> 1993 (1) SA 649 (A)</w:t>
            </w:r>
          </w:p>
          <w:p w14:paraId="1B197F43" w14:textId="3C33F5DF" w:rsidR="00204E81" w:rsidRDefault="00204E81" w:rsidP="00185BE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 w:rsidRPr="00204E81">
              <w:rPr>
                <w:rFonts w:ascii="Gill Sans" w:eastAsia="Gill Sans" w:hAnsi="Gill Sans" w:cs="Gill Sans"/>
                <w:i/>
                <w:iCs/>
                <w:color w:val="000000"/>
              </w:rPr>
              <w:t>SIU v Chauke Quantity Surveyors &amp; Project Managers in Association with Listed Entities t/a Chauke Mbenyane Co-Arc Consultants &amp; Nine Others (45529/2016) [2018] ZAGPPHC 240</w:t>
            </w:r>
            <w:r w:rsidRPr="00204E81">
              <w:rPr>
                <w:rFonts w:ascii="Gill Sans" w:eastAsia="Gill Sans" w:hAnsi="Gill Sans" w:cs="Gill Sans"/>
                <w:color w:val="000000"/>
              </w:rPr>
              <w:t xml:space="preserve"> (25 January 2018</w:t>
            </w:r>
            <w:r>
              <w:rPr>
                <w:rFonts w:ascii="Gill Sans" w:eastAsia="Gill Sans" w:hAnsi="Gill Sans" w:cs="Gill Sans"/>
                <w:color w:val="000000"/>
              </w:rPr>
              <w:t>)</w:t>
            </w:r>
          </w:p>
          <w:p w14:paraId="1F433F9E" w14:textId="1EB46310" w:rsidR="00204E81" w:rsidRPr="00185BE2" w:rsidRDefault="0094287A" w:rsidP="00185BE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 w:rsidRPr="0094287A">
              <w:rPr>
                <w:rFonts w:ascii="Gill Sans" w:eastAsia="Gill Sans" w:hAnsi="Gill Sans" w:cs="Gill Sans"/>
                <w:i/>
                <w:iCs/>
                <w:color w:val="000000"/>
              </w:rPr>
              <w:t xml:space="preserve">Buffalo City Metropolitan Municipality v Asla Construction (Pty) Ltd </w:t>
            </w:r>
            <w:r w:rsidRPr="0094287A">
              <w:rPr>
                <w:rFonts w:ascii="Gill Sans" w:eastAsia="Gill Sans" w:hAnsi="Gill Sans" w:cs="Gill Sans"/>
                <w:color w:val="000000"/>
              </w:rPr>
              <w:t>2019 (4) SA 331 (CC)</w:t>
            </w:r>
          </w:p>
        </w:tc>
      </w:tr>
      <w:tr w:rsidR="00CB5A66" w14:paraId="59B8224E" w14:textId="77777777">
        <w:tc>
          <w:tcPr>
            <w:tcW w:w="2689" w:type="dxa"/>
          </w:tcPr>
          <w:p w14:paraId="10F48E8A" w14:textId="77777777" w:rsidR="00CB5A66" w:rsidRDefault="00BD5A2A">
            <w:pPr>
              <w:tabs>
                <w:tab w:val="right" w:pos="2473"/>
              </w:tabs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Facts</w:t>
            </w:r>
            <w:r>
              <w:rPr>
                <w:rFonts w:ascii="Gill Sans" w:eastAsia="Gill Sans" w:hAnsi="Gill Sans" w:cs="Gill Sans"/>
                <w:vertAlign w:val="superscript"/>
              </w:rPr>
              <w:footnoteReference w:id="6"/>
            </w:r>
            <w:r>
              <w:rPr>
                <w:rFonts w:ascii="Gill Sans" w:eastAsia="Gill Sans" w:hAnsi="Gill Sans" w:cs="Gill Sans"/>
              </w:rPr>
              <w:tab/>
            </w:r>
          </w:p>
          <w:p w14:paraId="110D0819" w14:textId="77777777" w:rsidR="00CB5A66" w:rsidRDefault="00CB5A66">
            <w:pPr>
              <w:tabs>
                <w:tab w:val="right" w:pos="2473"/>
              </w:tabs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</w:p>
        </w:tc>
        <w:tc>
          <w:tcPr>
            <w:tcW w:w="6318" w:type="dxa"/>
          </w:tcPr>
          <w:p w14:paraId="3BFC50E5" w14:textId="37EFCA77" w:rsidR="00CB5A66" w:rsidRDefault="00315497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During the Covid-19 pandemic, the then Chief Financial Officer of the Gauteng Department of Health</w:t>
            </w:r>
            <w:r w:rsidR="00A46191">
              <w:rPr>
                <w:rFonts w:ascii="Gill Sans" w:eastAsia="Gill Sans" w:hAnsi="Gill Sans" w:cs="Gill Sans"/>
              </w:rPr>
              <w:t xml:space="preserve"> </w:t>
            </w:r>
            <w:r w:rsidR="00F168CC">
              <w:rPr>
                <w:rFonts w:ascii="Gill Sans" w:eastAsia="Gill Sans" w:hAnsi="Gill Sans" w:cs="Gill Sans"/>
              </w:rPr>
              <w:t>procured personal protective equipment (</w:t>
            </w:r>
            <w:r w:rsidR="00F168CC" w:rsidRPr="00F168CC">
              <w:rPr>
                <w:rFonts w:ascii="Gill Sans" w:eastAsia="Gill Sans" w:hAnsi="Gill Sans" w:cs="Gill Sans"/>
                <w:b/>
                <w:bCs/>
              </w:rPr>
              <w:t>PPE</w:t>
            </w:r>
            <w:r w:rsidR="00F168CC">
              <w:rPr>
                <w:rFonts w:ascii="Gill Sans" w:eastAsia="Gill Sans" w:hAnsi="Gill Sans" w:cs="Gill Sans"/>
              </w:rPr>
              <w:t>) from the applicant, LNG Scientific (Pty) Ltd (</w:t>
            </w:r>
            <w:r w:rsidR="00F168CC" w:rsidRPr="00F168CC">
              <w:rPr>
                <w:rFonts w:ascii="Gill Sans" w:eastAsia="Gill Sans" w:hAnsi="Gill Sans" w:cs="Gill Sans"/>
                <w:b/>
                <w:bCs/>
              </w:rPr>
              <w:t>LNG</w:t>
            </w:r>
            <w:r w:rsidR="00F168CC">
              <w:rPr>
                <w:rFonts w:ascii="Gill Sans" w:eastAsia="Gill Sans" w:hAnsi="Gill Sans" w:cs="Gill Sans"/>
              </w:rPr>
              <w:t>)</w:t>
            </w:r>
            <w:r w:rsidR="007D0AED">
              <w:rPr>
                <w:rFonts w:ascii="Gill Sans" w:eastAsia="Gill Sans" w:hAnsi="Gill Sans" w:cs="Gill Sans"/>
              </w:rPr>
              <w:t xml:space="preserve">. The </w:t>
            </w:r>
            <w:r w:rsidR="00F168CC">
              <w:rPr>
                <w:rFonts w:ascii="Gill Sans" w:eastAsia="Gill Sans" w:hAnsi="Gill Sans" w:cs="Gill Sans"/>
              </w:rPr>
              <w:t xml:space="preserve">first </w:t>
            </w:r>
            <w:r w:rsidR="00A95465">
              <w:rPr>
                <w:rFonts w:ascii="Gill Sans" w:eastAsia="Gill Sans" w:hAnsi="Gill Sans" w:cs="Gill Sans"/>
              </w:rPr>
              <w:t xml:space="preserve">and second </w:t>
            </w:r>
            <w:r w:rsidR="00F168CC">
              <w:rPr>
                <w:rFonts w:ascii="Gill Sans" w:eastAsia="Gill Sans" w:hAnsi="Gill Sans" w:cs="Gill Sans"/>
              </w:rPr>
              <w:t>respondent</w:t>
            </w:r>
            <w:r w:rsidR="00A95465">
              <w:rPr>
                <w:rFonts w:ascii="Gill Sans" w:eastAsia="Gill Sans" w:hAnsi="Gill Sans" w:cs="Gill Sans"/>
              </w:rPr>
              <w:t>s</w:t>
            </w:r>
            <w:r w:rsidR="00204E81">
              <w:rPr>
                <w:rFonts w:ascii="Gill Sans" w:eastAsia="Gill Sans" w:hAnsi="Gill Sans" w:cs="Gill Sans"/>
              </w:rPr>
              <w:t xml:space="preserve"> </w:t>
            </w:r>
            <w:r w:rsidR="00F168CC">
              <w:rPr>
                <w:rFonts w:ascii="Gill Sans" w:eastAsia="Gill Sans" w:hAnsi="Gill Sans" w:cs="Gill Sans"/>
              </w:rPr>
              <w:t>sought to review and set aside th</w:t>
            </w:r>
            <w:r>
              <w:rPr>
                <w:rFonts w:ascii="Gill Sans" w:eastAsia="Gill Sans" w:hAnsi="Gill Sans" w:cs="Gill Sans"/>
              </w:rPr>
              <w:t>e decision to award the PPE contract</w:t>
            </w:r>
            <w:r w:rsidR="002C6D67">
              <w:rPr>
                <w:rFonts w:ascii="Gill Sans" w:eastAsia="Gill Sans" w:hAnsi="Gill Sans" w:cs="Gill Sans"/>
              </w:rPr>
              <w:t xml:space="preserve"> </w:t>
            </w:r>
            <w:r w:rsidR="00861677">
              <w:rPr>
                <w:rFonts w:ascii="Gill Sans" w:eastAsia="Gill Sans" w:hAnsi="Gill Sans" w:cs="Gill Sans"/>
              </w:rPr>
              <w:t xml:space="preserve">due to </w:t>
            </w:r>
            <w:r w:rsidR="002C6D67" w:rsidRPr="002C6D67">
              <w:rPr>
                <w:rFonts w:ascii="Gill Sans" w:eastAsia="Gill Sans" w:hAnsi="Gill Sans" w:cs="Gill Sans"/>
              </w:rPr>
              <w:t>alleged irregularities in the procurement process</w:t>
            </w:r>
            <w:r w:rsidR="00861677">
              <w:rPr>
                <w:rFonts w:ascii="Gill Sans" w:eastAsia="Gill Sans" w:hAnsi="Gill Sans" w:cs="Gill Sans"/>
              </w:rPr>
              <w:t xml:space="preserve"> and defective performance </w:t>
            </w:r>
            <w:r>
              <w:rPr>
                <w:rFonts w:ascii="Gill Sans" w:eastAsia="Gill Sans" w:hAnsi="Gill Sans" w:cs="Gill Sans"/>
              </w:rPr>
              <w:t>(</w:t>
            </w:r>
            <w:r w:rsidRPr="00315497">
              <w:rPr>
                <w:rFonts w:ascii="Gill Sans" w:eastAsia="Gill Sans" w:hAnsi="Gill Sans" w:cs="Gill Sans"/>
                <w:b/>
                <w:bCs/>
              </w:rPr>
              <w:t>review application</w:t>
            </w:r>
            <w:r>
              <w:rPr>
                <w:rFonts w:ascii="Gill Sans" w:eastAsia="Gill Sans" w:hAnsi="Gill Sans" w:cs="Gill Sans"/>
              </w:rPr>
              <w:t>)</w:t>
            </w:r>
            <w:r w:rsidR="00F168CC">
              <w:rPr>
                <w:rFonts w:ascii="Gill Sans" w:eastAsia="Gill Sans" w:hAnsi="Gill Sans" w:cs="Gill Sans"/>
              </w:rPr>
              <w:t xml:space="preserve">. </w:t>
            </w:r>
            <w:r w:rsidR="007D0AED">
              <w:rPr>
                <w:rFonts w:ascii="Gill Sans" w:eastAsia="Gill Sans" w:hAnsi="Gill Sans" w:cs="Gill Sans"/>
              </w:rPr>
              <w:t>LNG opposed the review application</w:t>
            </w:r>
            <w:r w:rsidR="00F168CC">
              <w:rPr>
                <w:rFonts w:ascii="Gill Sans" w:eastAsia="Gill Sans" w:hAnsi="Gill Sans" w:cs="Gill Sans"/>
              </w:rPr>
              <w:t xml:space="preserve"> </w:t>
            </w:r>
            <w:r w:rsidR="007D0AED">
              <w:rPr>
                <w:rFonts w:ascii="Gill Sans" w:eastAsia="Gill Sans" w:hAnsi="Gill Sans" w:cs="Gill Sans"/>
              </w:rPr>
              <w:t xml:space="preserve">and </w:t>
            </w:r>
            <w:r w:rsidR="00F168CC">
              <w:rPr>
                <w:rFonts w:ascii="Gill Sans" w:eastAsia="Gill Sans" w:hAnsi="Gill Sans" w:cs="Gill Sans"/>
              </w:rPr>
              <w:t xml:space="preserve">brought an interlocutory application </w:t>
            </w:r>
            <w:r w:rsidR="007D0AED">
              <w:rPr>
                <w:rFonts w:ascii="Gill Sans" w:eastAsia="Gill Sans" w:hAnsi="Gill Sans" w:cs="Gill Sans"/>
              </w:rPr>
              <w:t xml:space="preserve">to compel the </w:t>
            </w:r>
            <w:r w:rsidR="003C5003">
              <w:rPr>
                <w:rFonts w:ascii="Gill Sans" w:eastAsia="Gill Sans" w:hAnsi="Gill Sans" w:cs="Gill Sans"/>
              </w:rPr>
              <w:t>respondents</w:t>
            </w:r>
            <w:r w:rsidR="007D0AED">
              <w:rPr>
                <w:rFonts w:ascii="Gill Sans" w:eastAsia="Gill Sans" w:hAnsi="Gill Sans" w:cs="Gill Sans"/>
              </w:rPr>
              <w:t xml:space="preserve"> to furnish it </w:t>
            </w:r>
            <w:r w:rsidR="007D0AED">
              <w:rPr>
                <w:rFonts w:ascii="Gill Sans" w:eastAsia="Gill Sans" w:hAnsi="Gill Sans" w:cs="Gill Sans"/>
              </w:rPr>
              <w:lastRenderedPageBreak/>
              <w:t xml:space="preserve">with a record of the impugned decision in terms of </w:t>
            </w:r>
            <w:r w:rsidR="003C5003">
              <w:rPr>
                <w:rFonts w:ascii="Gill Sans" w:eastAsia="Gill Sans" w:hAnsi="Gill Sans" w:cs="Gill Sans"/>
              </w:rPr>
              <w:t xml:space="preserve">Uniform </w:t>
            </w:r>
            <w:r w:rsidR="007D0AED">
              <w:rPr>
                <w:rFonts w:ascii="Gill Sans" w:eastAsia="Gill Sans" w:hAnsi="Gill Sans" w:cs="Gill Sans"/>
              </w:rPr>
              <w:t xml:space="preserve">Rule 53(1)(b). </w:t>
            </w:r>
            <w:r w:rsidR="00A46191">
              <w:rPr>
                <w:rFonts w:ascii="Gill Sans" w:eastAsia="Gill Sans" w:hAnsi="Gill Sans" w:cs="Gill Sans"/>
              </w:rPr>
              <w:t xml:space="preserve">The </w:t>
            </w:r>
            <w:r>
              <w:rPr>
                <w:rFonts w:ascii="Gill Sans" w:eastAsia="Gill Sans" w:hAnsi="Gill Sans" w:cs="Gill Sans"/>
              </w:rPr>
              <w:t>respondents opposed the interlocutory application</w:t>
            </w:r>
            <w:r w:rsidR="00A95465">
              <w:rPr>
                <w:rFonts w:ascii="Gill Sans" w:eastAsia="Gill Sans" w:hAnsi="Gill Sans" w:cs="Gill Sans"/>
              </w:rPr>
              <w:t>. They</w:t>
            </w:r>
            <w:r>
              <w:rPr>
                <w:rFonts w:ascii="Gill Sans" w:eastAsia="Gill Sans" w:hAnsi="Gill Sans" w:cs="Gill Sans"/>
              </w:rPr>
              <w:t xml:space="preserve"> argued that </w:t>
            </w:r>
            <w:r w:rsidR="003C5003">
              <w:rPr>
                <w:rFonts w:ascii="Gill Sans" w:eastAsia="Gill Sans" w:hAnsi="Gill Sans" w:cs="Gill Sans"/>
              </w:rPr>
              <w:t xml:space="preserve">because </w:t>
            </w:r>
            <w:r>
              <w:rPr>
                <w:rFonts w:ascii="Gill Sans" w:eastAsia="Gill Sans" w:hAnsi="Gill Sans" w:cs="Gill Sans"/>
              </w:rPr>
              <w:t>the review application had been brought in terms of Tribunal Rule 10 (and not the Uniform Rules)</w:t>
            </w:r>
            <w:r w:rsidR="003C5003">
              <w:rPr>
                <w:rFonts w:ascii="Gill Sans" w:eastAsia="Gill Sans" w:hAnsi="Gill Sans" w:cs="Gill Sans"/>
              </w:rPr>
              <w:t>, they were not obliged to produce the record</w:t>
            </w:r>
            <w:r w:rsidR="00A95465">
              <w:rPr>
                <w:rFonts w:ascii="Gill Sans" w:eastAsia="Gill Sans" w:hAnsi="Gill Sans" w:cs="Gill Sans"/>
              </w:rPr>
              <w:t xml:space="preserve"> but would </w:t>
            </w:r>
            <w:r w:rsidR="003C5003">
              <w:rPr>
                <w:rFonts w:ascii="Gill Sans" w:eastAsia="Gill Sans" w:hAnsi="Gill Sans" w:cs="Gill Sans"/>
              </w:rPr>
              <w:t xml:space="preserve">consent to an order in terms of Uniform Rule 35(13) and make discovery of the record within 20 days of the Tribunal’s order. </w:t>
            </w:r>
          </w:p>
        </w:tc>
      </w:tr>
      <w:tr w:rsidR="00CB5A66" w14:paraId="19271877" w14:textId="77777777">
        <w:tc>
          <w:tcPr>
            <w:tcW w:w="2689" w:type="dxa"/>
          </w:tcPr>
          <w:p w14:paraId="0808DE42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Summary</w:t>
            </w:r>
            <w:r>
              <w:rPr>
                <w:rFonts w:ascii="Gill Sans" w:eastAsia="Gill Sans" w:hAnsi="Gill Sans" w:cs="Gill Sans"/>
                <w:vertAlign w:val="superscript"/>
              </w:rPr>
              <w:footnoteReference w:id="7"/>
            </w:r>
          </w:p>
        </w:tc>
        <w:tc>
          <w:tcPr>
            <w:tcW w:w="6318" w:type="dxa"/>
          </w:tcPr>
          <w:p w14:paraId="57434E3C" w14:textId="4296C2E4" w:rsidR="00CB5A66" w:rsidRDefault="003C5003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bookmarkStart w:id="0" w:name="_heading=h.gjdgxs" w:colFirst="0" w:colLast="0"/>
            <w:bookmarkEnd w:id="0"/>
            <w:r>
              <w:rPr>
                <w:rFonts w:ascii="Gill Sans" w:eastAsia="Gill Sans" w:hAnsi="Gill Sans" w:cs="Gill Sans"/>
              </w:rPr>
              <w:t>The Tribunal had to determine whether the respondents were obliged to deliver a record of the impugned decision in terms of Uniform Rule 53(1)(b)</w:t>
            </w:r>
            <w:r w:rsidR="00A95465">
              <w:rPr>
                <w:rFonts w:ascii="Gill Sans" w:eastAsia="Gill Sans" w:hAnsi="Gill Sans" w:cs="Gill Sans"/>
              </w:rPr>
              <w:t>.</w:t>
            </w:r>
          </w:p>
          <w:p w14:paraId="2CBF8F27" w14:textId="4BE39B57" w:rsidR="00A95465" w:rsidRDefault="00A95465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</w:p>
          <w:p w14:paraId="4C1D3FD8" w14:textId="041EAABC" w:rsidR="00CB5A66" w:rsidRDefault="00A95465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The Tribunal also considered whether the respondent’s tender to discover relevant documents would enable LNG to properly oppose the review application. </w:t>
            </w:r>
            <w:bookmarkStart w:id="1" w:name="_heading=h.jnwmbrohwg7k" w:colFirst="0" w:colLast="0"/>
            <w:bookmarkEnd w:id="1"/>
          </w:p>
        </w:tc>
      </w:tr>
      <w:tr w:rsidR="00CB5A66" w14:paraId="1A0F9471" w14:textId="77777777">
        <w:tc>
          <w:tcPr>
            <w:tcW w:w="2689" w:type="dxa"/>
          </w:tcPr>
          <w:p w14:paraId="0BE23C4A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Decision/ Judgment</w:t>
            </w:r>
            <w:r>
              <w:rPr>
                <w:rFonts w:ascii="Gill Sans" w:eastAsia="Gill Sans" w:hAnsi="Gill Sans" w:cs="Gill Sans"/>
                <w:vertAlign w:val="superscript"/>
              </w:rPr>
              <w:footnoteReference w:id="8"/>
            </w:r>
          </w:p>
        </w:tc>
        <w:tc>
          <w:tcPr>
            <w:tcW w:w="6318" w:type="dxa"/>
          </w:tcPr>
          <w:p w14:paraId="012F990F" w14:textId="2926743B" w:rsidR="00CB5A66" w:rsidRDefault="003C5003">
            <w:pPr>
              <w:spacing w:after="0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The interlocutory application was dismissed with costs in the course.</w:t>
            </w:r>
            <w:r w:rsidR="00B67CA9">
              <w:rPr>
                <w:rFonts w:ascii="Gill Sans" w:eastAsia="Gill Sans" w:hAnsi="Gill Sans" w:cs="Gill Sans"/>
              </w:rPr>
              <w:t xml:space="preserve"> The respondents were </w:t>
            </w:r>
            <w:r w:rsidR="00C70FC4">
              <w:rPr>
                <w:rFonts w:ascii="Gill Sans" w:eastAsia="Gill Sans" w:hAnsi="Gill Sans" w:cs="Gill Sans"/>
              </w:rPr>
              <w:t xml:space="preserve">also </w:t>
            </w:r>
            <w:r w:rsidR="00B67CA9">
              <w:rPr>
                <w:rFonts w:ascii="Gill Sans" w:eastAsia="Gill Sans" w:hAnsi="Gill Sans" w:cs="Gill Sans"/>
              </w:rPr>
              <w:t>ordered to discover only the records relevant to the impugned decision</w:t>
            </w:r>
            <w:r w:rsidR="00C70FC4">
              <w:rPr>
                <w:rFonts w:ascii="Gill Sans" w:eastAsia="Gill Sans" w:hAnsi="Gill Sans" w:cs="Gill Sans"/>
              </w:rPr>
              <w:t xml:space="preserve"> (excluding documents already annexed to their founding affidavit</w:t>
            </w:r>
            <w:r w:rsidR="00861677">
              <w:rPr>
                <w:rFonts w:ascii="Gill Sans" w:eastAsia="Gill Sans" w:hAnsi="Gill Sans" w:cs="Gill Sans"/>
              </w:rPr>
              <w:t xml:space="preserve">). </w:t>
            </w:r>
          </w:p>
        </w:tc>
      </w:tr>
      <w:tr w:rsidR="00CB5A66" w14:paraId="47849934" w14:textId="77777777">
        <w:tc>
          <w:tcPr>
            <w:tcW w:w="2689" w:type="dxa"/>
          </w:tcPr>
          <w:p w14:paraId="62BE6B2C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Basis of the decision</w:t>
            </w:r>
            <w:r>
              <w:rPr>
                <w:rFonts w:ascii="Gill Sans" w:eastAsia="Gill Sans" w:hAnsi="Gill Sans" w:cs="Gill Sans"/>
                <w:vertAlign w:val="superscript"/>
              </w:rPr>
              <w:footnoteReference w:id="9"/>
            </w:r>
          </w:p>
        </w:tc>
        <w:tc>
          <w:tcPr>
            <w:tcW w:w="6318" w:type="dxa"/>
          </w:tcPr>
          <w:p w14:paraId="674BE4F0" w14:textId="77777777" w:rsidR="00CB5A66" w:rsidRDefault="00930D7C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The Tribunal noted that the review application was a self-review application that sought to review a decision taken by the second respondent. The mechanism in Uniform Rule 53 would not be applicable because the record was already available to the second respondent. </w:t>
            </w:r>
            <w:r w:rsidR="00204E81">
              <w:rPr>
                <w:rFonts w:ascii="Gill Sans" w:eastAsia="Gill Sans" w:hAnsi="Gill Sans" w:cs="Gill Sans"/>
              </w:rPr>
              <w:t xml:space="preserve">The Tribunal </w:t>
            </w:r>
            <w:r w:rsidR="00890EE9">
              <w:rPr>
                <w:rFonts w:ascii="Gill Sans" w:eastAsia="Gill Sans" w:hAnsi="Gill Sans" w:cs="Gill Sans"/>
              </w:rPr>
              <w:t>held that</w:t>
            </w:r>
            <w:r>
              <w:rPr>
                <w:rFonts w:ascii="Gill Sans" w:eastAsia="Gill Sans" w:hAnsi="Gill Sans" w:cs="Gill Sans"/>
              </w:rPr>
              <w:t>, as</w:t>
            </w:r>
            <w:r w:rsidR="00890EE9">
              <w:rPr>
                <w:rFonts w:ascii="Gill Sans" w:eastAsia="Gill Sans" w:hAnsi="Gill Sans" w:cs="Gill Sans"/>
              </w:rPr>
              <w:t xml:space="preserve"> the review application had been brought in terms of the Tribunal Rules which did not compel the filing of a record of the impugned decision</w:t>
            </w:r>
            <w:r>
              <w:rPr>
                <w:rFonts w:ascii="Gill Sans" w:eastAsia="Gill Sans" w:hAnsi="Gill Sans" w:cs="Gill Sans"/>
              </w:rPr>
              <w:t xml:space="preserve"> and it was a self-review application, </w:t>
            </w:r>
            <w:r w:rsidR="00890EE9">
              <w:rPr>
                <w:rFonts w:ascii="Gill Sans" w:eastAsia="Gill Sans" w:hAnsi="Gill Sans" w:cs="Gill Sans"/>
              </w:rPr>
              <w:t xml:space="preserve">LNG had </w:t>
            </w:r>
            <w:r>
              <w:rPr>
                <w:rFonts w:ascii="Gill Sans" w:eastAsia="Gill Sans" w:hAnsi="Gill Sans" w:cs="Gill Sans"/>
              </w:rPr>
              <w:t>failed to</w:t>
            </w:r>
            <w:r w:rsidR="00890EE9">
              <w:rPr>
                <w:rFonts w:ascii="Gill Sans" w:eastAsia="Gill Sans" w:hAnsi="Gill Sans" w:cs="Gill Sans"/>
              </w:rPr>
              <w:t xml:space="preserve"> establish the basis for invoking </w:t>
            </w:r>
            <w:r>
              <w:rPr>
                <w:rFonts w:ascii="Gill Sans" w:eastAsia="Gill Sans" w:hAnsi="Gill Sans" w:cs="Gill Sans"/>
              </w:rPr>
              <w:t xml:space="preserve">the application of the Uniform Rule. </w:t>
            </w:r>
          </w:p>
          <w:p w14:paraId="7C1DE828" w14:textId="77777777" w:rsidR="00B67CA9" w:rsidRDefault="00B67CA9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</w:p>
          <w:p w14:paraId="3E225E33" w14:textId="37D960C5" w:rsidR="00B67CA9" w:rsidRDefault="00B67CA9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The Tribunal </w:t>
            </w:r>
            <w:r w:rsidR="00C70FC4">
              <w:rPr>
                <w:rFonts w:ascii="Gill Sans" w:eastAsia="Gill Sans" w:hAnsi="Gill Sans" w:cs="Gill Sans"/>
              </w:rPr>
              <w:t>r</w:t>
            </w:r>
            <w:r w:rsidR="00C70FC4" w:rsidRPr="00C70FC4">
              <w:rPr>
                <w:rFonts w:ascii="Gill Sans" w:eastAsia="Gill Sans" w:hAnsi="Gill Sans" w:cs="Gill Sans"/>
              </w:rPr>
              <w:t>ecogni</w:t>
            </w:r>
            <w:r w:rsidR="00C568DA">
              <w:rPr>
                <w:rFonts w:ascii="Gill Sans" w:eastAsia="Gill Sans" w:hAnsi="Gill Sans" w:cs="Gill Sans"/>
              </w:rPr>
              <w:t>s</w:t>
            </w:r>
            <w:r w:rsidR="00C70FC4" w:rsidRPr="00C70FC4">
              <w:rPr>
                <w:rFonts w:ascii="Gill Sans" w:eastAsia="Gill Sans" w:hAnsi="Gill Sans" w:cs="Gill Sans"/>
              </w:rPr>
              <w:t>ed the importance of a record of the decision in review proceedings</w:t>
            </w:r>
            <w:r w:rsidR="00C568DA">
              <w:rPr>
                <w:rFonts w:ascii="Gill Sans" w:eastAsia="Gill Sans" w:hAnsi="Gill Sans" w:cs="Gill Sans"/>
              </w:rPr>
              <w:t xml:space="preserve"> to </w:t>
            </w:r>
            <w:r w:rsidR="00A80CF2">
              <w:rPr>
                <w:rFonts w:ascii="Gill Sans" w:eastAsia="Gill Sans" w:hAnsi="Gill Sans" w:cs="Gill Sans"/>
              </w:rPr>
              <w:t xml:space="preserve">ensure neither party is </w:t>
            </w:r>
            <w:r w:rsidR="00861677">
              <w:rPr>
                <w:rFonts w:ascii="Gill Sans" w:eastAsia="Gill Sans" w:hAnsi="Gill Sans" w:cs="Gill Sans"/>
              </w:rPr>
              <w:t>disadvantaged</w:t>
            </w:r>
            <w:r w:rsidR="00C568DA">
              <w:rPr>
                <w:rFonts w:ascii="Gill Sans" w:eastAsia="Gill Sans" w:hAnsi="Gill Sans" w:cs="Gill Sans"/>
              </w:rPr>
              <w:t xml:space="preserve">, </w:t>
            </w:r>
            <w:r w:rsidR="00861677">
              <w:rPr>
                <w:rFonts w:ascii="Gill Sans" w:eastAsia="Gill Sans" w:hAnsi="Gill Sans" w:cs="Gill Sans"/>
              </w:rPr>
              <w:t>but</w:t>
            </w:r>
            <w:r>
              <w:rPr>
                <w:rFonts w:ascii="Gill Sans" w:eastAsia="Gill Sans" w:hAnsi="Gill Sans" w:cs="Gill Sans"/>
              </w:rPr>
              <w:t xml:space="preserve"> ordered the respondents to </w:t>
            </w:r>
            <w:r w:rsidR="00C70FC4" w:rsidRPr="00C70FC4">
              <w:rPr>
                <w:rFonts w:ascii="Gill Sans" w:eastAsia="Gill Sans" w:hAnsi="Gill Sans" w:cs="Gill Sans"/>
              </w:rPr>
              <w:t xml:space="preserve">discover </w:t>
            </w:r>
            <w:r w:rsidR="00861677">
              <w:rPr>
                <w:rFonts w:ascii="Gill Sans" w:eastAsia="Gill Sans" w:hAnsi="Gill Sans" w:cs="Gill Sans"/>
              </w:rPr>
              <w:t>only relevant</w:t>
            </w:r>
            <w:r w:rsidR="00C70FC4" w:rsidRPr="00C70FC4">
              <w:rPr>
                <w:rFonts w:ascii="Gill Sans" w:eastAsia="Gill Sans" w:hAnsi="Gill Sans" w:cs="Gill Sans"/>
              </w:rPr>
              <w:t xml:space="preserve"> information </w:t>
            </w:r>
            <w:r w:rsidR="00861677">
              <w:rPr>
                <w:rFonts w:ascii="Gill Sans" w:eastAsia="Gill Sans" w:hAnsi="Gill Sans" w:cs="Gill Sans"/>
              </w:rPr>
              <w:t>to prevent an unfettered discovery process.</w:t>
            </w:r>
          </w:p>
        </w:tc>
      </w:tr>
      <w:tr w:rsidR="00CB5A66" w14:paraId="10E2F776" w14:textId="77777777">
        <w:tc>
          <w:tcPr>
            <w:tcW w:w="2689" w:type="dxa"/>
          </w:tcPr>
          <w:p w14:paraId="44F62F17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Reported by</w:t>
            </w:r>
          </w:p>
          <w:p w14:paraId="33795EF9" w14:textId="77777777" w:rsidR="00CB5A66" w:rsidRDefault="00BD5A2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Date</w:t>
            </w:r>
          </w:p>
        </w:tc>
        <w:tc>
          <w:tcPr>
            <w:tcW w:w="6318" w:type="dxa"/>
          </w:tcPr>
          <w:p w14:paraId="4C0017C2" w14:textId="77777777" w:rsidR="00CB5A66" w:rsidRDefault="00AF353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African Legal Information Institute (</w:t>
            </w:r>
            <w:hyperlink r:id="rId9" w:history="1">
              <w:r>
                <w:rPr>
                  <w:rStyle w:val="Hyperlink"/>
                  <w:rFonts w:ascii="Gill Sans" w:eastAsia="Gill Sans" w:hAnsi="Gill Sans" w:cs="Gill Sans"/>
                  <w:color w:val="1155CC"/>
                </w:rPr>
                <w:t>AfricanLII</w:t>
              </w:r>
            </w:hyperlink>
            <w:r>
              <w:rPr>
                <w:rFonts w:ascii="Gill Sans" w:eastAsia="Gill Sans" w:hAnsi="Gill Sans" w:cs="Gill Sans"/>
              </w:rPr>
              <w:t>)</w:t>
            </w:r>
          </w:p>
          <w:p w14:paraId="523D3339" w14:textId="20C10587" w:rsidR="00AF353A" w:rsidRDefault="00AF353A">
            <w:pPr>
              <w:spacing w:after="0" w:line="276" w:lineRule="auto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1 July 2022</w:t>
            </w:r>
          </w:p>
        </w:tc>
      </w:tr>
    </w:tbl>
    <w:p w14:paraId="6E3C36F7" w14:textId="77777777" w:rsidR="00CB5A66" w:rsidRDefault="00CB5A66">
      <w:pPr>
        <w:spacing w:after="0" w:line="276" w:lineRule="auto"/>
        <w:jc w:val="both"/>
        <w:rPr>
          <w:rFonts w:ascii="Gill Sans" w:eastAsia="Gill Sans" w:hAnsi="Gill Sans" w:cs="Gill Sans"/>
        </w:rPr>
      </w:pPr>
    </w:p>
    <w:p w14:paraId="17159E6A" w14:textId="77777777" w:rsidR="00CB5A66" w:rsidRDefault="00CB5A66">
      <w:pPr>
        <w:rPr>
          <w:rFonts w:ascii="Gill Sans" w:eastAsia="Gill Sans" w:hAnsi="Gill Sans" w:cs="Gill Sans"/>
        </w:rPr>
      </w:pPr>
    </w:p>
    <w:p w14:paraId="336B0593" w14:textId="77777777" w:rsidR="00CB5A66" w:rsidRDefault="00CB5A66"/>
    <w:p w14:paraId="2BC1B3AB" w14:textId="77777777" w:rsidR="00CB5A66" w:rsidRDefault="00CB5A66"/>
    <w:p w14:paraId="411663BD" w14:textId="77777777" w:rsidR="00CB5A66" w:rsidRDefault="00CB5A66"/>
    <w:sectPr w:rsidR="00CB5A6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2E0A" w14:textId="77777777" w:rsidR="00AC3B87" w:rsidRDefault="00AC3B87">
      <w:pPr>
        <w:spacing w:after="0" w:line="240" w:lineRule="auto"/>
      </w:pPr>
      <w:r>
        <w:separator/>
      </w:r>
    </w:p>
  </w:endnote>
  <w:endnote w:type="continuationSeparator" w:id="0">
    <w:p w14:paraId="69CA3F33" w14:textId="77777777" w:rsidR="00AC3B87" w:rsidRDefault="00AC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BE5B" w14:textId="77777777" w:rsidR="00AC3B87" w:rsidRDefault="00AC3B87">
      <w:pPr>
        <w:spacing w:after="0" w:line="240" w:lineRule="auto"/>
      </w:pPr>
      <w:r>
        <w:separator/>
      </w:r>
    </w:p>
  </w:footnote>
  <w:footnote w:type="continuationSeparator" w:id="0">
    <w:p w14:paraId="11708DB0" w14:textId="77777777" w:rsidR="00AC3B87" w:rsidRDefault="00AC3B87">
      <w:pPr>
        <w:spacing w:after="0" w:line="240" w:lineRule="auto"/>
      </w:pPr>
      <w:r>
        <w:continuationSeparator/>
      </w:r>
    </w:p>
  </w:footnote>
  <w:footnote w:id="1">
    <w:p w14:paraId="67845C3E" w14:textId="77777777" w:rsidR="00CB5A66" w:rsidRDefault="00BD5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Clarify the type of issues that come up in the case.</w:t>
      </w:r>
    </w:p>
  </w:footnote>
  <w:footnote w:id="2">
    <w:p w14:paraId="5BD3B753" w14:textId="77777777" w:rsidR="00CB5A66" w:rsidRDefault="00BD5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Whether Trial, Application or Appeal.</w:t>
      </w:r>
    </w:p>
  </w:footnote>
  <w:footnote w:id="3">
    <w:p w14:paraId="642CCE35" w14:textId="77777777" w:rsidR="00CB5A66" w:rsidRDefault="00BD5A2A">
      <w:pPr>
        <w:spacing w:after="0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Gill Sans" w:eastAsia="Gill Sans" w:hAnsi="Gill Sans" w:cs="Gill Sans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sz w:val="20"/>
          <w:szCs w:val="20"/>
        </w:rPr>
        <w:t>Area of law</w:t>
      </w:r>
      <w:r>
        <w:rPr>
          <w:rFonts w:ascii="Gill Sans" w:eastAsia="Gill Sans" w:hAnsi="Gill Sans" w:cs="Gill Sans"/>
          <w:sz w:val="20"/>
          <w:szCs w:val="20"/>
        </w:rPr>
        <w:t xml:space="preserve"> - topic – subtopic. </w:t>
      </w:r>
    </w:p>
  </w:footnote>
  <w:footnote w:id="4">
    <w:p w14:paraId="25EFA60A" w14:textId="77777777" w:rsidR="00CB5A66" w:rsidRDefault="00BD5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Legislation/ International instrument title and section numbers.</w:t>
      </w:r>
    </w:p>
  </w:footnote>
  <w:footnote w:id="5">
    <w:p w14:paraId="75C19EDA" w14:textId="77777777" w:rsidR="00CB5A66" w:rsidRDefault="00BD5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List of cases considered to be </w:t>
      </w:r>
      <w:r>
        <w:rPr>
          <w:rFonts w:ascii="Gill Sans" w:eastAsia="Gill Sans" w:hAnsi="Gill Sans" w:cs="Gill Sans"/>
          <w:color w:val="000000"/>
          <w:sz w:val="20"/>
          <w:szCs w:val="20"/>
          <w:u w:val="single"/>
        </w:rPr>
        <w:t>important precedent</w:t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(case name and citation).</w:t>
      </w:r>
    </w:p>
  </w:footnote>
  <w:footnote w:id="6">
    <w:p w14:paraId="1FF80D81" w14:textId="77777777" w:rsidR="00CB5A66" w:rsidRDefault="00BD5A2A">
      <w:pPr>
        <w:spacing w:after="0"/>
        <w:jc w:val="both"/>
        <w:rPr>
          <w:rFonts w:ascii="Gill Sans" w:eastAsia="Gill Sans" w:hAnsi="Gill Sans" w:cs="Gill Sans"/>
          <w:i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Gill Sans" w:eastAsia="Gill Sans" w:hAnsi="Gill Sans" w:cs="Gill Sans"/>
          <w:sz w:val="20"/>
          <w:szCs w:val="20"/>
        </w:rPr>
        <w:t xml:space="preserve"> Brief facts about the case (max 150 words).</w:t>
      </w:r>
    </w:p>
  </w:footnote>
  <w:footnote w:id="7">
    <w:p w14:paraId="0A2ACE88" w14:textId="77777777" w:rsidR="00CB5A66" w:rsidRDefault="00BD5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Summary of the determination of legal questions and/or grounds of appeal (between 150-250 words).</w:t>
      </w:r>
    </w:p>
  </w:footnote>
  <w:footnote w:id="8">
    <w:p w14:paraId="2741E185" w14:textId="77777777" w:rsidR="00CB5A66" w:rsidRDefault="00BD5A2A">
      <w:pPr>
        <w:spacing w:after="0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Gill Sans" w:eastAsia="Gill Sans" w:hAnsi="Gill Sans" w:cs="Gill Sans"/>
          <w:sz w:val="20"/>
          <w:szCs w:val="20"/>
        </w:rPr>
        <w:t xml:space="preserve"> A brief summary of the ruling/judgment of the court (max 100 words).</w:t>
      </w:r>
    </w:p>
  </w:footnote>
  <w:footnote w:id="9">
    <w:p w14:paraId="257561F1" w14:textId="77777777" w:rsidR="00CB5A66" w:rsidRDefault="00BD5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A 1-2 sentence summary of the basis of the decision (i.e. which legal rules were relied on).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BA4"/>
    <w:multiLevelType w:val="hybridMultilevel"/>
    <w:tmpl w:val="47DAED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66"/>
    <w:rsid w:val="000A400C"/>
    <w:rsid w:val="00185BE2"/>
    <w:rsid w:val="00204E81"/>
    <w:rsid w:val="002340D9"/>
    <w:rsid w:val="002C6D67"/>
    <w:rsid w:val="00315497"/>
    <w:rsid w:val="003C5003"/>
    <w:rsid w:val="007D0AED"/>
    <w:rsid w:val="00861677"/>
    <w:rsid w:val="00890EE9"/>
    <w:rsid w:val="00930D7C"/>
    <w:rsid w:val="0094287A"/>
    <w:rsid w:val="00A46191"/>
    <w:rsid w:val="00A80CF2"/>
    <w:rsid w:val="00A95465"/>
    <w:rsid w:val="00AC3B87"/>
    <w:rsid w:val="00AF353A"/>
    <w:rsid w:val="00B67CA9"/>
    <w:rsid w:val="00BD5A2A"/>
    <w:rsid w:val="00C568DA"/>
    <w:rsid w:val="00C70FC4"/>
    <w:rsid w:val="00CB5A66"/>
    <w:rsid w:val="00EE5AA4"/>
    <w:rsid w:val="00F168CC"/>
    <w:rsid w:val="00F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D614"/>
  <w15:docId w15:val="{DED14191-451F-4641-B005-05E3EF49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7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A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A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A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477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6477B"/>
    <w:rPr>
      <w:b/>
      <w:bCs/>
    </w:rPr>
  </w:style>
  <w:style w:type="paragraph" w:styleId="ListParagraph">
    <w:name w:val="List Paragraph"/>
    <w:basedOn w:val="Normal"/>
    <w:uiPriority w:val="34"/>
    <w:qFormat/>
    <w:rsid w:val="008647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34AD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F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library.org.za/index.php/za/judgment/special-tribunal-south-africa/2022/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fricanli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8M77Ok1ER41GHVIFTUr4cfaN3g==">AMUW2mUV/DyqSPdDP/Ti0XDboedAcmAICLCFvKPsyF/C47htg/66mSErHr8V0aJ6tWa1wxd+D3U1f46wTEFSSw2W6TKprKObNxtkNrMQhT/dEmknz8B9jrKKJU5Xxitr4MsKs3PlP/Sb9tFta205pMNTQUuOg4dI2w==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Nyehita</dc:creator>
  <cp:lastModifiedBy>Li-Fen Chien</cp:lastModifiedBy>
  <cp:revision>13</cp:revision>
  <dcterms:created xsi:type="dcterms:W3CDTF">2022-07-01T13:00:00Z</dcterms:created>
  <dcterms:modified xsi:type="dcterms:W3CDTF">2022-07-01T14:52:00Z</dcterms:modified>
</cp:coreProperties>
</file>