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BA" w:rsidRDefault="00DF0608">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extent cx="1311112" cy="11579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rsidR="009806BA" w:rsidRDefault="00DF0608">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rsidR="009806BA" w:rsidRDefault="00DF0608">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rsidR="009806BA" w:rsidRDefault="009806BA">
      <w:pPr>
        <w:widowControl w:val="0"/>
        <w:pBdr>
          <w:top w:val="nil"/>
          <w:left w:val="nil"/>
          <w:bottom w:val="nil"/>
          <w:right w:val="nil"/>
          <w:between w:val="nil"/>
        </w:pBdr>
        <w:spacing w:after="0" w:line="276" w:lineRule="auto"/>
        <w:jc w:val="center"/>
        <w:rPr>
          <w:rFonts w:ascii="Arial" w:eastAsia="Arial" w:hAnsi="Arial" w:cs="Arial"/>
          <w:b/>
        </w:rPr>
      </w:pPr>
    </w:p>
    <w:tbl>
      <w:tblPr>
        <w:tblStyle w:val="a3"/>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9806BA">
        <w:tc>
          <w:tcPr>
            <w:tcW w:w="9007" w:type="dxa"/>
            <w:gridSpan w:val="2"/>
          </w:tcPr>
          <w:p w:rsidR="009806BA" w:rsidRDefault="00DF0608">
            <w:pPr>
              <w:spacing w:after="0" w:line="276" w:lineRule="auto"/>
              <w:jc w:val="center"/>
              <w:rPr>
                <w:rFonts w:ascii="Gill Sans" w:eastAsia="Gill Sans" w:hAnsi="Gill Sans" w:cs="Gill Sans"/>
                <w:b/>
                <w:i/>
              </w:rPr>
            </w:pPr>
            <w:r>
              <w:rPr>
                <w:rFonts w:ascii="Gill Sans" w:eastAsia="Gill Sans" w:hAnsi="Gill Sans" w:cs="Gill Sans"/>
                <w:b/>
                <w:i/>
              </w:rPr>
              <w:t xml:space="preserve">Ex Parte: Special Investigating Unit ; In Re: Special Investigating Unit v </w:t>
            </w:r>
            <w:proofErr w:type="spellStart"/>
            <w:r>
              <w:rPr>
                <w:rFonts w:ascii="Gill Sans" w:eastAsia="Gill Sans" w:hAnsi="Gill Sans" w:cs="Gill Sans"/>
                <w:b/>
                <w:i/>
              </w:rPr>
              <w:t>Mhlongo</w:t>
            </w:r>
            <w:proofErr w:type="spellEnd"/>
            <w:r>
              <w:rPr>
                <w:rFonts w:ascii="Gill Sans" w:eastAsia="Gill Sans" w:hAnsi="Gill Sans" w:cs="Gill Sans"/>
                <w:b/>
                <w:i/>
              </w:rPr>
              <w:t xml:space="preserve"> and Another</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9806BA" w:rsidRDefault="00DF0608">
            <w:pPr>
              <w:spacing w:after="0" w:line="276" w:lineRule="auto"/>
              <w:jc w:val="both"/>
              <w:rPr>
                <w:rFonts w:ascii="Gill Sans" w:eastAsia="Gill Sans" w:hAnsi="Gill Sans" w:cs="Gill Sans"/>
              </w:rPr>
            </w:pPr>
            <w:hyperlink r:id="rId8">
              <w:r>
                <w:rPr>
                  <w:rFonts w:ascii="Gill Sans" w:eastAsia="Gill Sans" w:hAnsi="Gill Sans" w:cs="Gill Sans"/>
                  <w:color w:val="1155CC"/>
                  <w:u w:val="single"/>
                </w:rPr>
                <w:t>https://lawlibrary.org.za/akn/za/judgment/zast/2022/45/eng@2022-10-13</w:t>
              </w:r>
            </w:hyperlink>
            <w:r>
              <w:rPr>
                <w:rFonts w:ascii="Gill Sans" w:eastAsia="Gill Sans" w:hAnsi="Gill Sans" w:cs="Gill Sans"/>
              </w:rPr>
              <w:t xml:space="preserve"> </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(LP/03/2022) [2022] ZAST 45</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13 October 2022</w:t>
            </w:r>
          </w:p>
        </w:tc>
      </w:tr>
      <w:tr w:rsidR="009806BA">
        <w:tc>
          <w:tcPr>
            <w:tcW w:w="2689" w:type="dxa"/>
          </w:tcPr>
          <w:p w:rsidR="009806BA" w:rsidRDefault="00DF0608">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 xml:space="preserve">Application, </w:t>
            </w:r>
            <w:r>
              <w:rPr>
                <w:rFonts w:ascii="Gill Sans" w:eastAsia="Gill Sans" w:hAnsi="Gill Sans" w:cs="Gill Sans"/>
                <w:i/>
              </w:rPr>
              <w:t>ex parte</w:t>
            </w:r>
            <w:r>
              <w:rPr>
                <w:rFonts w:ascii="Gill Sans" w:eastAsia="Gill Sans" w:hAnsi="Gill Sans" w:cs="Gill Sans"/>
              </w:rPr>
              <w:t>, Special Tribunal, interdict, restrain, pension fund, benefits, pending final determination, civil proceedings, recovery, damages, losses, profit, unlawful contracts, secret, order, interim interdict</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rsidR="009806BA" w:rsidRDefault="00DF0608">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applicant, the Speci</w:t>
            </w:r>
            <w:r>
              <w:rPr>
                <w:rFonts w:ascii="Gill Sans" w:eastAsia="Gill Sans" w:hAnsi="Gill Sans" w:cs="Gill Sans"/>
              </w:rPr>
              <w:t>al Investigating Unit (</w:t>
            </w:r>
            <w:r>
              <w:rPr>
                <w:rFonts w:ascii="Gill Sans" w:eastAsia="Gill Sans" w:hAnsi="Gill Sans" w:cs="Gill Sans"/>
                <w:b/>
              </w:rPr>
              <w:t>SIU</w:t>
            </w:r>
            <w:r>
              <w:rPr>
                <w:rFonts w:ascii="Gill Sans" w:eastAsia="Gill Sans" w:hAnsi="Gill Sans" w:cs="Gill Sans"/>
              </w:rPr>
              <w:t xml:space="preserve">), intended to bring civil proceedings against various parties including the first respondent, Dr </w:t>
            </w:r>
            <w:proofErr w:type="spellStart"/>
            <w:r>
              <w:rPr>
                <w:rFonts w:ascii="Gill Sans" w:eastAsia="Gill Sans" w:hAnsi="Gill Sans" w:cs="Gill Sans"/>
              </w:rPr>
              <w:t>Mhlongo</w:t>
            </w:r>
            <w:proofErr w:type="spellEnd"/>
            <w:r>
              <w:rPr>
                <w:rFonts w:ascii="Gill Sans" w:eastAsia="Gill Sans" w:hAnsi="Gill Sans" w:cs="Gill Sans"/>
              </w:rPr>
              <w:t xml:space="preserve"> (</w:t>
            </w:r>
            <w:proofErr w:type="spellStart"/>
            <w:r>
              <w:rPr>
                <w:rFonts w:ascii="Gill Sans" w:eastAsia="Gill Sans" w:hAnsi="Gill Sans" w:cs="Gill Sans"/>
                <w:b/>
              </w:rPr>
              <w:t>Mhlongo</w:t>
            </w:r>
            <w:proofErr w:type="spellEnd"/>
            <w:r>
              <w:rPr>
                <w:rFonts w:ascii="Gill Sans" w:eastAsia="Gill Sans" w:hAnsi="Gill Sans" w:cs="Gill Sans"/>
              </w:rPr>
              <w:t>), relating to the recovery of damages and disgorgement of profits made from unlawful contracts and secret profits (</w:t>
            </w:r>
            <w:r>
              <w:rPr>
                <w:rFonts w:ascii="Gill Sans" w:eastAsia="Gill Sans" w:hAnsi="Gill Sans" w:cs="Gill Sans"/>
                <w:b/>
              </w:rPr>
              <w:t>the Main Proceedings</w:t>
            </w:r>
            <w:r>
              <w:rPr>
                <w:rFonts w:ascii="Gill Sans" w:eastAsia="Gill Sans" w:hAnsi="Gill Sans" w:cs="Gill Sans"/>
              </w:rPr>
              <w:t>). In the meantime, the SIU wanted to interdict and restrain the Government Employees Pension Fund (</w:t>
            </w:r>
            <w:r>
              <w:rPr>
                <w:rFonts w:ascii="Gill Sans" w:eastAsia="Gill Sans" w:hAnsi="Gill Sans" w:cs="Gill Sans"/>
                <w:b/>
              </w:rPr>
              <w:t>the Fund</w:t>
            </w:r>
            <w:r>
              <w:rPr>
                <w:rFonts w:ascii="Gill Sans" w:eastAsia="Gill Sans" w:hAnsi="Gill Sans" w:cs="Gill Sans"/>
              </w:rPr>
              <w:t xml:space="preserve">) from paying any pension benefits to </w:t>
            </w:r>
            <w:proofErr w:type="spellStart"/>
            <w:r>
              <w:rPr>
                <w:rFonts w:ascii="Gill Sans" w:eastAsia="Gill Sans" w:hAnsi="Gill Sans" w:cs="Gill Sans"/>
              </w:rPr>
              <w:t>Mhlongo</w:t>
            </w:r>
            <w:proofErr w:type="spellEnd"/>
            <w:r>
              <w:rPr>
                <w:rFonts w:ascii="Gill Sans" w:eastAsia="Gill Sans" w:hAnsi="Gill Sans" w:cs="Gill Sans"/>
              </w:rPr>
              <w:t xml:space="preserve"> until the Main Proceedings were finalised, and brought an </w:t>
            </w:r>
            <w:r>
              <w:rPr>
                <w:rFonts w:ascii="Gill Sans" w:eastAsia="Gill Sans" w:hAnsi="Gill Sans" w:cs="Gill Sans"/>
                <w:i/>
              </w:rPr>
              <w:t>ex parte</w:t>
            </w:r>
            <w:r>
              <w:rPr>
                <w:rFonts w:ascii="Gill Sans" w:eastAsia="Gill Sans" w:hAnsi="Gill Sans" w:cs="Gill Sans"/>
              </w:rPr>
              <w:t xml:space="preserve"> application for</w:t>
            </w:r>
            <w:r>
              <w:rPr>
                <w:rFonts w:ascii="Gill Sans" w:eastAsia="Gill Sans" w:hAnsi="Gill Sans" w:cs="Gill Sans"/>
              </w:rPr>
              <w:t xml:space="preserve"> this.</w:t>
            </w:r>
          </w:p>
          <w:p w:rsidR="009806BA" w:rsidRDefault="009806BA">
            <w:pPr>
              <w:spacing w:after="0" w:line="276" w:lineRule="auto"/>
              <w:jc w:val="both"/>
              <w:rPr>
                <w:rFonts w:ascii="Gill Sans" w:eastAsia="Gill Sans" w:hAnsi="Gill Sans" w:cs="Gill Sans"/>
              </w:rPr>
            </w:pPr>
          </w:p>
          <w:p w:rsidR="009806BA" w:rsidRDefault="00DF0608">
            <w:pPr>
              <w:spacing w:after="0" w:line="276" w:lineRule="auto"/>
              <w:jc w:val="both"/>
              <w:rPr>
                <w:rFonts w:ascii="Gill Sans" w:eastAsia="Gill Sans" w:hAnsi="Gill Sans" w:cs="Gill Sans"/>
              </w:rPr>
            </w:pPr>
            <w:bookmarkStart w:id="2" w:name="_heading=h.jnwmbrohwg7k" w:colFirst="0" w:colLast="0"/>
            <w:bookmarkEnd w:id="2"/>
            <w:r>
              <w:rPr>
                <w:rFonts w:ascii="Gill Sans" w:eastAsia="Gill Sans" w:hAnsi="Gill Sans" w:cs="Gill Sans"/>
              </w:rPr>
              <w:t xml:space="preserve">The Special Tribunal was therefore asked to condone the SIU’s non-compliance with certain Tribunal rules and grant the </w:t>
            </w:r>
            <w:r>
              <w:rPr>
                <w:rFonts w:ascii="Gill Sans" w:eastAsia="Gill Sans" w:hAnsi="Gill Sans" w:cs="Gill Sans"/>
                <w:i/>
              </w:rPr>
              <w:t>ex parte</w:t>
            </w:r>
            <w:r>
              <w:rPr>
                <w:rFonts w:ascii="Gill Sans" w:eastAsia="Gill Sans" w:hAnsi="Gill Sans" w:cs="Gill Sans"/>
              </w:rPr>
              <w:t xml:space="preserve"> application as an interim interdict (i.e. interim relief pending finalisation of legal proceedings).</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rsidR="009806BA" w:rsidRDefault="00DF0608">
            <w:pPr>
              <w:spacing w:after="0"/>
              <w:jc w:val="both"/>
              <w:rPr>
                <w:rFonts w:ascii="Gill Sans" w:eastAsia="Gill Sans" w:hAnsi="Gill Sans" w:cs="Gill Sans"/>
              </w:rPr>
            </w:pPr>
            <w:r>
              <w:rPr>
                <w:rFonts w:ascii="Gill Sans" w:eastAsia="Gill Sans" w:hAnsi="Gill Sans" w:cs="Gill Sans"/>
              </w:rPr>
              <w:t>The Special Tribunal granted the interim interdict, until determination of the Main Proceedings, which would be instituted within 60 days of the granting of this order.</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 xml:space="preserve">The Special Tribunal condoned the SIU’s non-compliance with the rules of the Tribunal because of the urgency of the matter (according to Special Tribunal Rule 12). The Special Tribunal also ordered that the Fund be stopped from paying any pension benefits </w:t>
            </w:r>
            <w:r>
              <w:rPr>
                <w:rFonts w:ascii="Gill Sans" w:eastAsia="Gill Sans" w:hAnsi="Gill Sans" w:cs="Gill Sans"/>
              </w:rPr>
              <w:t xml:space="preserve">to </w:t>
            </w:r>
            <w:proofErr w:type="spellStart"/>
            <w:r>
              <w:rPr>
                <w:rFonts w:ascii="Gill Sans" w:eastAsia="Gill Sans" w:hAnsi="Gill Sans" w:cs="Gill Sans"/>
              </w:rPr>
              <w:t>Mhlongo</w:t>
            </w:r>
            <w:proofErr w:type="spellEnd"/>
            <w:r>
              <w:rPr>
                <w:rFonts w:ascii="Gill Sans" w:eastAsia="Gill Sans" w:hAnsi="Gill Sans" w:cs="Gill Sans"/>
              </w:rPr>
              <w:t xml:space="preserve"> until the Main Proceedings could be finished.</w:t>
            </w:r>
          </w:p>
        </w:tc>
      </w:tr>
      <w:tr w:rsidR="009806BA">
        <w:tc>
          <w:tcPr>
            <w:tcW w:w="2689"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Reported by</w:t>
            </w:r>
          </w:p>
          <w:p w:rsidR="009806BA" w:rsidRDefault="00DF0608">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9806BA" w:rsidRDefault="00DF0608">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9806BA" w:rsidRDefault="00DF0608">
            <w:pPr>
              <w:spacing w:after="0" w:line="276" w:lineRule="auto"/>
              <w:jc w:val="both"/>
              <w:rPr>
                <w:rFonts w:ascii="Gill Sans" w:eastAsia="Gill Sans" w:hAnsi="Gill Sans" w:cs="Gill Sans"/>
              </w:rPr>
            </w:pPr>
            <w:r>
              <w:rPr>
                <w:rFonts w:ascii="Gill Sans" w:eastAsia="Gill Sans" w:hAnsi="Gill Sans" w:cs="Gill Sans"/>
              </w:rPr>
              <w:t>5 November 2022</w:t>
            </w:r>
          </w:p>
        </w:tc>
      </w:tr>
    </w:tbl>
    <w:p w:rsidR="009806BA" w:rsidRDefault="009806BA">
      <w:pPr>
        <w:spacing w:after="0" w:line="276" w:lineRule="auto"/>
        <w:jc w:val="both"/>
        <w:rPr>
          <w:rFonts w:ascii="Gill Sans" w:eastAsia="Gill Sans" w:hAnsi="Gill Sans" w:cs="Gill Sans"/>
        </w:rPr>
      </w:pPr>
    </w:p>
    <w:p w:rsidR="009806BA" w:rsidRDefault="009806BA">
      <w:pPr>
        <w:rPr>
          <w:rFonts w:ascii="Gill Sans" w:eastAsia="Gill Sans" w:hAnsi="Gill Sans" w:cs="Gill Sans"/>
        </w:rPr>
      </w:pPr>
    </w:p>
    <w:p w:rsidR="009806BA" w:rsidRDefault="009806BA"/>
    <w:p w:rsidR="009806BA" w:rsidRDefault="009806BA"/>
    <w:p w:rsidR="009806BA" w:rsidRDefault="009806BA"/>
    <w:sectPr w:rsidR="009806B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08" w:rsidRDefault="00DF0608">
      <w:pPr>
        <w:spacing w:after="0" w:line="240" w:lineRule="auto"/>
      </w:pPr>
      <w:r>
        <w:separator/>
      </w:r>
    </w:p>
  </w:endnote>
  <w:endnote w:type="continuationSeparator" w:id="0">
    <w:p w:rsidR="00DF0608" w:rsidRDefault="00DF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08" w:rsidRDefault="00DF0608">
      <w:pPr>
        <w:spacing w:after="0" w:line="240" w:lineRule="auto"/>
      </w:pPr>
      <w:r>
        <w:separator/>
      </w:r>
    </w:p>
  </w:footnote>
  <w:footnote w:type="continuationSeparator" w:id="0">
    <w:p w:rsidR="00DF0608" w:rsidRDefault="00DF0608">
      <w:pPr>
        <w:spacing w:after="0" w:line="240" w:lineRule="auto"/>
      </w:pPr>
      <w:r>
        <w:continuationSeparator/>
      </w:r>
    </w:p>
  </w:footnote>
  <w:footnote w:id="1">
    <w:p w:rsidR="009806BA" w:rsidRDefault="00DF060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rsidR="009806BA" w:rsidRDefault="00DF060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rsidR="009806BA" w:rsidRDefault="00DF060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rsidR="009806BA" w:rsidRDefault="00DF060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w:t>
      </w:r>
      <w:r>
        <w:rPr>
          <w:rFonts w:ascii="Gill Sans" w:eastAsia="Gill Sans" w:hAnsi="Gill Sans" w:cs="Gill Sans"/>
          <w:color w:val="000000"/>
          <w:sz w:val="20"/>
          <w:szCs w:val="20"/>
        </w:rPr>
        <w:t>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BA"/>
    <w:rsid w:val="001919C2"/>
    <w:rsid w:val="009806BA"/>
    <w:rsid w:val="00DF06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41A44-5C59-4D1C-ACA6-1D52F3E0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2/45/eng@2022-10-13"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yQPsMDDkLJs/7azDrYZ4s8aww==">AMUW2mULWvg7iouJKcqiGGf5xsk1ngepkb6sNkiEA33xVfRMKWN2mBQ0U6xQ5OVgGbh0KPHTYks6+DYgTV0orNxZU7zDbYlopNPkRuscECpGLxbiiLPnbIbedhYa3DxxpK8XYczGZIGEtiAZ8ckoTRdUXuxerCMfAQ==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2024-01-08T10:30:00Z</dcterms:created>
  <dcterms:modified xsi:type="dcterms:W3CDTF">2024-01-08T10:30:00Z</dcterms:modified>
</cp:coreProperties>
</file>