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B01C3" w14:textId="44B791F1" w:rsidR="00216F03" w:rsidRDefault="00B13708" w:rsidP="006327F3">
      <w:pPr>
        <w:spacing w:after="120" w:line="276" w:lineRule="auto"/>
        <w:jc w:val="center"/>
        <w:rPr>
          <w:b/>
          <w:lang w:val="en-GB"/>
        </w:rPr>
      </w:pPr>
      <w:bookmarkStart w:id="0" w:name="_GoBack"/>
      <w:bookmarkEnd w:id="0"/>
      <w:r>
        <w:rPr>
          <w:noProof/>
          <w:lang w:eastAsia="en-ZA"/>
        </w:rPr>
        <w:drawing>
          <wp:inline distT="0" distB="0" distL="0" distR="0" wp14:anchorId="5166B3D3" wp14:editId="6C0D875B">
            <wp:extent cx="1224000" cy="1224000"/>
            <wp:effectExtent l="0" t="0" r="0" b="0"/>
            <wp:docPr id="1" name="Picture 1" descr="cid:image005.png@01D12061.66368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png@01D12061.663682A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24000" cy="1224000"/>
                    </a:xfrm>
                    <a:prstGeom prst="rect">
                      <a:avLst/>
                    </a:prstGeom>
                    <a:noFill/>
                    <a:ln>
                      <a:noFill/>
                    </a:ln>
                  </pic:spPr>
                </pic:pic>
              </a:graphicData>
            </a:graphic>
          </wp:inline>
        </w:drawing>
      </w:r>
    </w:p>
    <w:p w14:paraId="7809E73E" w14:textId="77777777" w:rsidR="00B13708" w:rsidRDefault="00B13708" w:rsidP="006327F3">
      <w:pPr>
        <w:spacing w:after="120" w:line="276" w:lineRule="auto"/>
        <w:jc w:val="center"/>
        <w:rPr>
          <w:b/>
          <w:lang w:val="en-GB"/>
        </w:rPr>
      </w:pPr>
    </w:p>
    <w:p w14:paraId="788C71F5" w14:textId="31146F98" w:rsidR="006327F3" w:rsidRPr="00A0476D" w:rsidRDefault="006327F3" w:rsidP="006327F3">
      <w:pPr>
        <w:spacing w:after="120" w:line="276" w:lineRule="auto"/>
        <w:jc w:val="center"/>
        <w:rPr>
          <w:b/>
          <w:lang w:val="en-GB"/>
        </w:rPr>
      </w:pPr>
      <w:r w:rsidRPr="00A0476D">
        <w:rPr>
          <w:b/>
          <w:lang w:val="en-GB"/>
        </w:rPr>
        <w:t>IN THE HIGH COURT OF SOUTH AFRICA</w:t>
      </w:r>
    </w:p>
    <w:p w14:paraId="3EFCAC3B" w14:textId="77777777" w:rsidR="006327F3" w:rsidRPr="00A0476D" w:rsidRDefault="006327F3" w:rsidP="006327F3">
      <w:pPr>
        <w:spacing w:after="480" w:line="276" w:lineRule="auto"/>
        <w:jc w:val="center"/>
        <w:rPr>
          <w:b/>
          <w:lang w:val="en-GB"/>
        </w:rPr>
      </w:pPr>
      <w:r>
        <w:rPr>
          <w:b/>
          <w:lang w:val="en-GB"/>
        </w:rPr>
        <w:t>WESTERN CAPE DIVISION, CAPE TOWN</w:t>
      </w:r>
    </w:p>
    <w:p w14:paraId="7E682062" w14:textId="5EF18309" w:rsidR="006327F3" w:rsidRPr="00A0476D" w:rsidRDefault="006327F3" w:rsidP="006327F3">
      <w:pPr>
        <w:spacing w:before="480"/>
        <w:ind w:left="5761"/>
        <w:rPr>
          <w:lang w:val="en-GB"/>
        </w:rPr>
      </w:pPr>
      <w:r w:rsidRPr="00A0476D">
        <w:rPr>
          <w:lang w:val="en-GB"/>
        </w:rPr>
        <w:t xml:space="preserve">Case number: </w:t>
      </w:r>
      <w:r w:rsidR="00FA351A">
        <w:rPr>
          <w:lang w:val="en-GB"/>
        </w:rPr>
        <w:t>14578</w:t>
      </w:r>
      <w:r>
        <w:rPr>
          <w:lang w:val="en-GB"/>
        </w:rPr>
        <w:t>/202</w:t>
      </w:r>
      <w:r w:rsidR="00FA351A">
        <w:rPr>
          <w:lang w:val="en-GB"/>
        </w:rPr>
        <w:t>3</w:t>
      </w:r>
    </w:p>
    <w:p w14:paraId="7BAF3E58" w14:textId="77777777" w:rsidR="006327F3" w:rsidRDefault="006327F3" w:rsidP="006327F3">
      <w:pPr>
        <w:spacing w:before="360" w:after="360"/>
        <w:rPr>
          <w:lang w:val="en-GB"/>
        </w:rPr>
      </w:pPr>
      <w:r w:rsidRPr="00A0476D">
        <w:rPr>
          <w:lang w:val="en-GB"/>
        </w:rPr>
        <w:t>In the matter between:</w:t>
      </w:r>
    </w:p>
    <w:tbl>
      <w:tblPr>
        <w:tblStyle w:val="TableGrid"/>
        <w:tblW w:w="0" w:type="auto"/>
        <w:tblCellMar>
          <w:top w:w="0" w:type="dxa"/>
          <w:left w:w="28" w:type="dxa"/>
          <w:bottom w:w="0" w:type="dxa"/>
          <w:right w:w="45" w:type="dxa"/>
        </w:tblCellMar>
        <w:tblLook w:val="04A0" w:firstRow="1" w:lastRow="0" w:firstColumn="1" w:lastColumn="0" w:noHBand="0" w:noVBand="1"/>
      </w:tblPr>
      <w:tblGrid>
        <w:gridCol w:w="6299"/>
        <w:gridCol w:w="2602"/>
      </w:tblGrid>
      <w:tr w:rsidR="006327F3" w:rsidRPr="00A0476D" w14:paraId="01D76F09" w14:textId="77777777" w:rsidTr="007667E5">
        <w:tc>
          <w:tcPr>
            <w:tcW w:w="6379" w:type="dxa"/>
            <w:tcBorders>
              <w:top w:val="nil"/>
              <w:left w:val="nil"/>
              <w:bottom w:val="nil"/>
              <w:right w:val="nil"/>
            </w:tcBorders>
          </w:tcPr>
          <w:p w14:paraId="0CF7A1CB" w14:textId="5CD9CAEB" w:rsidR="006327F3" w:rsidRPr="00A0476D" w:rsidRDefault="00FA351A" w:rsidP="00FA351A">
            <w:pPr>
              <w:spacing w:after="240" w:line="276" w:lineRule="auto"/>
              <w:rPr>
                <w:rFonts w:cstheme="minorBidi"/>
                <w:b/>
              </w:rPr>
            </w:pPr>
            <w:r>
              <w:rPr>
                <w:rFonts w:cstheme="minorBidi"/>
                <w:b/>
              </w:rPr>
              <w:t>JURIE WYNAND VAN DYK t/a VAN DYKS PROPERTY BROKERS</w:t>
            </w:r>
          </w:p>
        </w:tc>
        <w:tc>
          <w:tcPr>
            <w:tcW w:w="2631" w:type="dxa"/>
            <w:tcBorders>
              <w:top w:val="nil"/>
              <w:left w:val="nil"/>
              <w:bottom w:val="nil"/>
              <w:right w:val="nil"/>
            </w:tcBorders>
          </w:tcPr>
          <w:p w14:paraId="1306AAE9" w14:textId="202F10C3" w:rsidR="006327F3" w:rsidRPr="00A0476D" w:rsidRDefault="00FA351A" w:rsidP="007667E5">
            <w:pPr>
              <w:spacing w:line="276" w:lineRule="auto"/>
              <w:jc w:val="right"/>
              <w:rPr>
                <w:rFonts w:cstheme="minorBidi"/>
              </w:rPr>
            </w:pPr>
            <w:r>
              <w:rPr>
                <w:rFonts w:cstheme="minorBidi"/>
              </w:rPr>
              <w:t>Plaintiff</w:t>
            </w:r>
          </w:p>
        </w:tc>
      </w:tr>
    </w:tbl>
    <w:p w14:paraId="40CB5D33" w14:textId="77777777" w:rsidR="006327F3" w:rsidRPr="00A0476D" w:rsidRDefault="006327F3" w:rsidP="006327F3">
      <w:pPr>
        <w:spacing w:before="120"/>
        <w:rPr>
          <w:rFonts w:cstheme="minorBidi"/>
          <w:lang w:val="en-GB"/>
        </w:rPr>
      </w:pPr>
      <w:r w:rsidRPr="00A0476D">
        <w:rPr>
          <w:rFonts w:cstheme="minorBidi"/>
          <w:lang w:val="en-GB"/>
        </w:rPr>
        <w:t>and</w:t>
      </w:r>
      <w:r>
        <w:rPr>
          <w:rFonts w:cstheme="minorBidi"/>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28" w:type="dxa"/>
          <w:bottom w:w="0" w:type="dxa"/>
          <w:right w:w="45" w:type="dxa"/>
        </w:tblCellMar>
        <w:tblLook w:val="04A0" w:firstRow="1" w:lastRow="0" w:firstColumn="1" w:lastColumn="0" w:noHBand="0" w:noVBand="1"/>
      </w:tblPr>
      <w:tblGrid>
        <w:gridCol w:w="6296"/>
        <w:gridCol w:w="2605"/>
      </w:tblGrid>
      <w:tr w:rsidR="006327F3" w:rsidRPr="00A0476D" w14:paraId="6EB023BB" w14:textId="77777777" w:rsidTr="007667E5">
        <w:tc>
          <w:tcPr>
            <w:tcW w:w="6296" w:type="dxa"/>
          </w:tcPr>
          <w:p w14:paraId="54C33875" w14:textId="1AB69A06" w:rsidR="006327F3" w:rsidRPr="00A0476D" w:rsidRDefault="00FA351A" w:rsidP="007667E5">
            <w:pPr>
              <w:spacing w:line="240" w:lineRule="auto"/>
              <w:rPr>
                <w:rFonts w:cstheme="minorBidi"/>
                <w:b/>
              </w:rPr>
            </w:pPr>
            <w:r>
              <w:rPr>
                <w:rFonts w:cstheme="minorBidi"/>
                <w:b/>
              </w:rPr>
              <w:t>M3T DEVELOPMENTS (PTY) LTD</w:t>
            </w:r>
          </w:p>
        </w:tc>
        <w:tc>
          <w:tcPr>
            <w:tcW w:w="2605" w:type="dxa"/>
          </w:tcPr>
          <w:p w14:paraId="6059C38F" w14:textId="17584519" w:rsidR="006327F3" w:rsidRPr="00A0476D" w:rsidRDefault="00FA351A" w:rsidP="00FA351A">
            <w:pPr>
              <w:spacing w:after="360" w:line="276" w:lineRule="auto"/>
              <w:ind w:firstLine="1335"/>
              <w:rPr>
                <w:rFonts w:cstheme="minorBidi"/>
              </w:rPr>
            </w:pPr>
            <w:r>
              <w:rPr>
                <w:rFonts w:cstheme="minorBidi"/>
              </w:rPr>
              <w:t>Defendant</w:t>
            </w:r>
          </w:p>
        </w:tc>
      </w:tr>
      <w:tr w:rsidR="00556B9E" w:rsidRPr="00A0476D" w14:paraId="06C8FB67" w14:textId="77777777" w:rsidTr="000D2848">
        <w:tc>
          <w:tcPr>
            <w:tcW w:w="6296" w:type="dxa"/>
          </w:tcPr>
          <w:p w14:paraId="4DBE17A4" w14:textId="77777777" w:rsidR="00556B9E" w:rsidRDefault="00556B9E" w:rsidP="000D2848">
            <w:pPr>
              <w:spacing w:line="240" w:lineRule="auto"/>
              <w:rPr>
                <w:rFonts w:cstheme="minorBidi"/>
                <w:b/>
              </w:rPr>
            </w:pPr>
          </w:p>
          <w:p w14:paraId="109DC593" w14:textId="77777777" w:rsidR="00556B9E" w:rsidRPr="000B1B9A" w:rsidRDefault="00556B9E" w:rsidP="000D2848">
            <w:pPr>
              <w:ind w:left="748" w:hanging="720"/>
              <w:rPr>
                <w:rFonts w:eastAsia="Calibri"/>
                <w:b/>
              </w:rPr>
            </w:pPr>
            <w:r w:rsidRPr="000B1B9A">
              <w:rPr>
                <w:rFonts w:eastAsia="Calibri"/>
                <w:b/>
              </w:rPr>
              <w:t xml:space="preserve">Coram: </w:t>
            </w:r>
            <w:r>
              <w:rPr>
                <w:rFonts w:eastAsia="Calibri"/>
                <w:bCs/>
              </w:rPr>
              <w:t xml:space="preserve">Acting </w:t>
            </w:r>
            <w:r w:rsidRPr="00FF36A5">
              <w:rPr>
                <w:rFonts w:eastAsia="Calibri"/>
              </w:rPr>
              <w:t xml:space="preserve">Justice </w:t>
            </w:r>
            <w:r>
              <w:rPr>
                <w:rFonts w:eastAsia="Calibri"/>
              </w:rPr>
              <w:t>P Farlam</w:t>
            </w:r>
            <w:r w:rsidRPr="000B1B9A">
              <w:rPr>
                <w:rFonts w:eastAsia="Calibri"/>
                <w:b/>
              </w:rPr>
              <w:t xml:space="preserve"> </w:t>
            </w:r>
          </w:p>
          <w:p w14:paraId="0FB14776" w14:textId="08F8EF82" w:rsidR="00556B9E" w:rsidRPr="00556B9E" w:rsidRDefault="00556B9E" w:rsidP="000D2848">
            <w:pPr>
              <w:ind w:left="851" w:hanging="823"/>
              <w:rPr>
                <w:rFonts w:eastAsia="Calibri"/>
                <w:bCs/>
              </w:rPr>
            </w:pPr>
            <w:r w:rsidRPr="000B1B9A">
              <w:rPr>
                <w:rFonts w:eastAsia="Calibri"/>
                <w:b/>
              </w:rPr>
              <w:t xml:space="preserve">Heard: </w:t>
            </w:r>
            <w:r>
              <w:rPr>
                <w:rFonts w:eastAsia="Calibri"/>
                <w:bCs/>
              </w:rPr>
              <w:t>2</w:t>
            </w:r>
            <w:r w:rsidR="00346BDB">
              <w:rPr>
                <w:rFonts w:eastAsia="Calibri"/>
                <w:bCs/>
              </w:rPr>
              <w:t>3</w:t>
            </w:r>
            <w:r>
              <w:rPr>
                <w:rFonts w:eastAsia="Calibri"/>
                <w:bCs/>
              </w:rPr>
              <w:t xml:space="preserve"> August 2024</w:t>
            </w:r>
          </w:p>
          <w:p w14:paraId="1F0F300B" w14:textId="682338FF" w:rsidR="00556B9E" w:rsidRPr="00710105" w:rsidRDefault="00556B9E" w:rsidP="000D2848">
            <w:pPr>
              <w:ind w:left="748" w:hanging="720"/>
              <w:rPr>
                <w:rFonts w:eastAsia="Calibri"/>
              </w:rPr>
            </w:pPr>
            <w:r w:rsidRPr="000B1B9A">
              <w:rPr>
                <w:rFonts w:eastAsia="Calibri"/>
                <w:b/>
              </w:rPr>
              <w:t xml:space="preserve">Delivered electronically: </w:t>
            </w:r>
            <w:r>
              <w:rPr>
                <w:rFonts w:eastAsia="Calibri"/>
              </w:rPr>
              <w:t>23 August 2024</w:t>
            </w:r>
          </w:p>
          <w:p w14:paraId="1C9504D4" w14:textId="77777777" w:rsidR="00556B9E" w:rsidRDefault="00556B9E" w:rsidP="000D2848">
            <w:pPr>
              <w:spacing w:line="240" w:lineRule="auto"/>
              <w:rPr>
                <w:rFonts w:cstheme="minorBidi"/>
                <w:b/>
              </w:rPr>
            </w:pPr>
          </w:p>
        </w:tc>
        <w:tc>
          <w:tcPr>
            <w:tcW w:w="2605" w:type="dxa"/>
          </w:tcPr>
          <w:p w14:paraId="1BE6F81C" w14:textId="77777777" w:rsidR="00556B9E" w:rsidRDefault="00556B9E" w:rsidP="000D2848">
            <w:pPr>
              <w:spacing w:after="360" w:line="276" w:lineRule="auto"/>
              <w:ind w:firstLine="620"/>
              <w:rPr>
                <w:rFonts w:cstheme="minorBidi"/>
              </w:rPr>
            </w:pPr>
          </w:p>
        </w:tc>
      </w:tr>
    </w:tbl>
    <w:p w14:paraId="67615EDB" w14:textId="77777777" w:rsidR="00556B9E" w:rsidRPr="00A0476D" w:rsidRDefault="00556B9E" w:rsidP="00556B9E">
      <w:pPr>
        <w:spacing w:after="0" w:line="240" w:lineRule="auto"/>
        <w:rPr>
          <w:lang w:val="en-GB"/>
        </w:rPr>
      </w:pPr>
    </w:p>
    <w:p w14:paraId="1D80D97E" w14:textId="77777777" w:rsidR="00556B9E" w:rsidRDefault="00556B9E" w:rsidP="00556B9E">
      <w:pPr>
        <w:pStyle w:val="Tramlines"/>
      </w:pPr>
      <w:r>
        <w:t>judgment</w:t>
      </w:r>
    </w:p>
    <w:p w14:paraId="732479C2" w14:textId="77777777" w:rsidR="00556B9E" w:rsidRDefault="00556B9E" w:rsidP="00556B9E">
      <w:pPr>
        <w:spacing w:line="259" w:lineRule="auto"/>
        <w:jc w:val="left"/>
        <w:rPr>
          <w:lang w:val="en-GB"/>
        </w:rPr>
      </w:pPr>
    </w:p>
    <w:p w14:paraId="595FF026" w14:textId="77777777" w:rsidR="00556B9E" w:rsidRDefault="00556B9E" w:rsidP="00556B9E">
      <w:pPr>
        <w:spacing w:after="360" w:line="259" w:lineRule="auto"/>
        <w:jc w:val="left"/>
        <w:rPr>
          <w:rFonts w:cs="Arial"/>
          <w:b/>
          <w:bCs/>
        </w:rPr>
      </w:pPr>
      <w:r>
        <w:rPr>
          <w:rFonts w:cs="Arial"/>
          <w:b/>
          <w:bCs/>
          <w:u w:val="single"/>
        </w:rPr>
        <w:t>FARLAM AJ</w:t>
      </w:r>
      <w:r>
        <w:rPr>
          <w:rFonts w:cs="Arial"/>
          <w:b/>
          <w:bCs/>
        </w:rPr>
        <w:t>:</w:t>
      </w:r>
    </w:p>
    <w:p w14:paraId="3157F4B6" w14:textId="1302C9CD" w:rsidR="00BF446A" w:rsidRPr="007B595B" w:rsidRDefault="00CF5C8F" w:rsidP="008403AF">
      <w:pPr>
        <w:pStyle w:val="Heading1"/>
        <w:spacing w:line="360" w:lineRule="auto"/>
      </w:pPr>
      <w:bookmarkStart w:id="1" w:name="_Toc77011987"/>
      <w:r w:rsidRPr="007B595B">
        <w:rPr>
          <w:caps w:val="0"/>
        </w:rPr>
        <w:t>Introduction</w:t>
      </w:r>
      <w:bookmarkEnd w:id="1"/>
    </w:p>
    <w:p w14:paraId="5177AE70" w14:textId="4A366A3E" w:rsidR="00367F8A" w:rsidRDefault="00ED6FE1" w:rsidP="00ED6FE1">
      <w:pPr>
        <w:spacing w:after="480"/>
        <w:ind w:left="720" w:hanging="720"/>
      </w:pPr>
      <w:r>
        <w:rPr>
          <w:rFonts w:cs="Times New Roman"/>
          <w:szCs w:val="24"/>
        </w:rPr>
        <w:t>[1]</w:t>
      </w:r>
      <w:r>
        <w:rPr>
          <w:rFonts w:cs="Times New Roman"/>
          <w:szCs w:val="24"/>
        </w:rPr>
        <w:tab/>
      </w:r>
      <w:r w:rsidR="00FA351A">
        <w:t xml:space="preserve">The issue to be determined in this </w:t>
      </w:r>
      <w:r w:rsidR="00495235">
        <w:t>matter</w:t>
      </w:r>
      <w:r w:rsidR="00FA351A">
        <w:t xml:space="preserve"> is whether the plaintiff, Mr Jurie van Dyk, who trades as Van Dyks Property Brokers (</w:t>
      </w:r>
      <w:r w:rsidR="00FA351A" w:rsidRPr="00ED6FE1">
        <w:rPr>
          <w:b/>
          <w:bCs/>
        </w:rPr>
        <w:t>Van Dyk</w:t>
      </w:r>
      <w:r w:rsidR="00FA351A">
        <w:t>)</w:t>
      </w:r>
      <w:r w:rsidR="00713101">
        <w:t>,</w:t>
      </w:r>
      <w:r w:rsidR="00FA351A">
        <w:t xml:space="preserve"> acted as a “financial services provider”, as contemplated in the Financial Advisory and </w:t>
      </w:r>
      <w:r w:rsidR="00FA351A">
        <w:lastRenderedPageBreak/>
        <w:t>Intermediary Services Act, 37 of 2002 (</w:t>
      </w:r>
      <w:r w:rsidR="00713101">
        <w:t xml:space="preserve">the </w:t>
      </w:r>
      <w:r w:rsidR="00FA351A" w:rsidRPr="00ED6FE1">
        <w:rPr>
          <w:b/>
          <w:bCs/>
        </w:rPr>
        <w:t>FAIS</w:t>
      </w:r>
      <w:r w:rsidR="00713101" w:rsidRPr="00ED6FE1">
        <w:rPr>
          <w:b/>
          <w:bCs/>
        </w:rPr>
        <w:t xml:space="preserve"> Act</w:t>
      </w:r>
      <w:r w:rsidR="00FA351A">
        <w:t>), in his dealing</w:t>
      </w:r>
      <w:r w:rsidR="00713101">
        <w:t>s</w:t>
      </w:r>
      <w:r w:rsidR="00FA351A">
        <w:t xml:space="preserve"> with the defendant.</w:t>
      </w:r>
    </w:p>
    <w:p w14:paraId="1653C7EE" w14:textId="284557C8" w:rsidR="001559FD" w:rsidRPr="00ED6FE1" w:rsidRDefault="00ED6FE1" w:rsidP="00ED6FE1">
      <w:pPr>
        <w:spacing w:after="480"/>
        <w:ind w:left="720" w:hanging="720"/>
        <w:rPr>
          <w:rFonts w:cs="Arial"/>
        </w:rPr>
      </w:pPr>
      <w:r>
        <w:rPr>
          <w:rFonts w:cs="Arial"/>
          <w:szCs w:val="24"/>
        </w:rPr>
        <w:t>[2]</w:t>
      </w:r>
      <w:r>
        <w:rPr>
          <w:rFonts w:cs="Arial"/>
          <w:szCs w:val="24"/>
        </w:rPr>
        <w:tab/>
      </w:r>
      <w:r w:rsidR="00F05980" w:rsidRPr="00ED6FE1">
        <w:rPr>
          <w:rFonts w:cs="Arial"/>
        </w:rPr>
        <w:t>I</w:t>
      </w:r>
      <w:r w:rsidR="00BC5FD3" w:rsidRPr="00ED6FE1">
        <w:rPr>
          <w:rFonts w:cs="Arial"/>
        </w:rPr>
        <w:t>n terms of section 7(1)</w:t>
      </w:r>
      <w:r w:rsidR="00713101" w:rsidRPr="00ED6FE1">
        <w:rPr>
          <w:rFonts w:cs="Arial"/>
        </w:rPr>
        <w:t>(</w:t>
      </w:r>
      <w:r w:rsidR="00713101" w:rsidRPr="00ED6FE1">
        <w:rPr>
          <w:rFonts w:cs="Arial"/>
          <w:i/>
          <w:iCs/>
        </w:rPr>
        <w:t>a</w:t>
      </w:r>
      <w:r w:rsidR="00713101" w:rsidRPr="00ED6FE1">
        <w:rPr>
          <w:rFonts w:cs="Arial"/>
        </w:rPr>
        <w:t>)</w:t>
      </w:r>
      <w:r w:rsidR="00BC5FD3" w:rsidRPr="00ED6FE1">
        <w:rPr>
          <w:rFonts w:cs="Arial"/>
        </w:rPr>
        <w:t xml:space="preserve"> </w:t>
      </w:r>
      <w:r w:rsidR="00713101" w:rsidRPr="00ED6FE1">
        <w:rPr>
          <w:rFonts w:cs="Arial"/>
        </w:rPr>
        <w:t>of the FAIS Act, a person “may not act or offer to act as a … financial services provider, unless such person has been issued with a licence under section 8”. The particulars of claim do not contain an averment that Van Dyk is an authorised financial services provider (</w:t>
      </w:r>
      <w:r w:rsidR="00713101" w:rsidRPr="00ED6FE1">
        <w:rPr>
          <w:rFonts w:cs="Arial"/>
          <w:b/>
          <w:bCs/>
        </w:rPr>
        <w:t>FSP</w:t>
      </w:r>
      <w:r w:rsidR="00713101" w:rsidRPr="00ED6FE1">
        <w:rPr>
          <w:rFonts w:cs="Arial"/>
        </w:rPr>
        <w:t>)</w:t>
      </w:r>
      <w:r w:rsidR="00367F8A" w:rsidRPr="00ED6FE1">
        <w:rPr>
          <w:rFonts w:cs="Arial"/>
        </w:rPr>
        <w:t xml:space="preserve"> and one can infer from the absence of an amendment that he was not so authorised</w:t>
      </w:r>
      <w:r w:rsidR="00713101" w:rsidRPr="00ED6FE1">
        <w:rPr>
          <w:rFonts w:cs="Arial"/>
        </w:rPr>
        <w:t>. If Van Dyk was acting as an FSP when providing the services for which he has sought remuneration from the defendant</w:t>
      </w:r>
      <w:r w:rsidR="00367F8A" w:rsidRPr="00ED6FE1">
        <w:rPr>
          <w:rFonts w:cs="Arial"/>
        </w:rPr>
        <w:t>, his actions would accordingly have been unlawful and</w:t>
      </w:r>
      <w:r w:rsidR="000746F9" w:rsidRPr="00ED6FE1">
        <w:rPr>
          <w:rFonts w:cs="Arial"/>
        </w:rPr>
        <w:t>, so</w:t>
      </w:r>
      <w:r w:rsidR="00367F8A" w:rsidRPr="00ED6FE1">
        <w:rPr>
          <w:rFonts w:cs="Arial"/>
        </w:rPr>
        <w:t xml:space="preserve"> the defendant </w:t>
      </w:r>
      <w:r w:rsidR="000746F9" w:rsidRPr="00ED6FE1">
        <w:rPr>
          <w:rFonts w:cs="Arial"/>
        </w:rPr>
        <w:t>alleges, would mean that the</w:t>
      </w:r>
      <w:r w:rsidR="00367F8A" w:rsidRPr="00ED6FE1">
        <w:rPr>
          <w:rFonts w:cs="Arial"/>
        </w:rPr>
        <w:t xml:space="preserve"> contract</w:t>
      </w:r>
      <w:r w:rsidR="000746F9" w:rsidRPr="00ED6FE1">
        <w:rPr>
          <w:rFonts w:cs="Arial"/>
        </w:rPr>
        <w:t>(s)</w:t>
      </w:r>
      <w:r w:rsidR="00367F8A" w:rsidRPr="00ED6FE1">
        <w:rPr>
          <w:rFonts w:cs="Arial"/>
        </w:rPr>
        <w:t xml:space="preserve"> under which he performed</w:t>
      </w:r>
      <w:r w:rsidR="000746F9" w:rsidRPr="00ED6FE1">
        <w:rPr>
          <w:rFonts w:cs="Arial"/>
        </w:rPr>
        <w:t xml:space="preserve"> were void</w:t>
      </w:r>
      <w:r w:rsidR="00367F8A" w:rsidRPr="00ED6FE1">
        <w:rPr>
          <w:rFonts w:cs="Arial"/>
        </w:rPr>
        <w:t>.</w:t>
      </w:r>
      <w:r w:rsidR="00F05980" w:rsidRPr="00ED6FE1">
        <w:rPr>
          <w:rFonts w:cs="Arial"/>
        </w:rPr>
        <w:t xml:space="preserve"> In the defendant’s view, the question is therefore potentially determinative of the claim.</w:t>
      </w:r>
    </w:p>
    <w:p w14:paraId="03F3BCE8" w14:textId="1DF92350" w:rsidR="002463D1" w:rsidRPr="00ED6FE1" w:rsidRDefault="00ED6FE1" w:rsidP="00ED6FE1">
      <w:pPr>
        <w:spacing w:after="480"/>
        <w:ind w:left="720" w:hanging="720"/>
        <w:rPr>
          <w:rFonts w:cs="Arial"/>
        </w:rPr>
      </w:pPr>
      <w:r>
        <w:rPr>
          <w:rFonts w:cs="Arial"/>
          <w:szCs w:val="24"/>
        </w:rPr>
        <w:t>[3]</w:t>
      </w:r>
      <w:r>
        <w:rPr>
          <w:rFonts w:cs="Arial"/>
          <w:szCs w:val="24"/>
        </w:rPr>
        <w:tab/>
      </w:r>
      <w:r w:rsidR="00367F8A" w:rsidRPr="00ED6FE1">
        <w:rPr>
          <w:rFonts w:cs="Arial"/>
        </w:rPr>
        <w:t>The issue has arisen pursuant to an exception by the defendant. The principles relevant to exceptions do not need to be restated in this judgment</w:t>
      </w:r>
      <w:r w:rsidR="00940637" w:rsidRPr="00ED6FE1">
        <w:rPr>
          <w:rFonts w:cs="Arial"/>
        </w:rPr>
        <w:t xml:space="preserve">, as they are </w:t>
      </w:r>
      <w:r w:rsidR="00367F8A" w:rsidRPr="00ED6FE1">
        <w:rPr>
          <w:rFonts w:cs="Arial"/>
        </w:rPr>
        <w:t>well-established</w:t>
      </w:r>
      <w:r w:rsidR="00940637" w:rsidRPr="00ED6FE1">
        <w:rPr>
          <w:rFonts w:cs="Arial"/>
        </w:rPr>
        <w:t xml:space="preserve">. It suffices to record that the </w:t>
      </w:r>
      <w:r w:rsidR="006E65EC" w:rsidRPr="00ED6FE1">
        <w:rPr>
          <w:rFonts w:cs="Arial"/>
        </w:rPr>
        <w:t xml:space="preserve">contention </w:t>
      </w:r>
      <w:r w:rsidR="002463D1" w:rsidRPr="00ED6FE1">
        <w:rPr>
          <w:rFonts w:cs="Arial"/>
        </w:rPr>
        <w:t>that Van Dyk acted as an FSP when dealing with the defendants must be construed against the backdrop of the particulars of claim read holistically,</w:t>
      </w:r>
      <w:r w:rsidR="00F05980">
        <w:rPr>
          <w:rStyle w:val="FootnoteReference"/>
          <w:rFonts w:cs="Arial"/>
        </w:rPr>
        <w:footnoteReference w:id="2"/>
      </w:r>
      <w:r w:rsidR="002463D1" w:rsidRPr="00ED6FE1">
        <w:rPr>
          <w:rFonts w:cs="Arial"/>
        </w:rPr>
        <w:t xml:space="preserve"> and in a benevolent manner.</w:t>
      </w:r>
      <w:r w:rsidR="00F05980">
        <w:rPr>
          <w:rStyle w:val="FootnoteReference"/>
          <w:rFonts w:cs="Arial"/>
        </w:rPr>
        <w:footnoteReference w:id="3"/>
      </w:r>
      <w:r w:rsidR="002463D1" w:rsidRPr="00ED6FE1">
        <w:rPr>
          <w:rFonts w:cs="Arial"/>
        </w:rPr>
        <w:t xml:space="preserve"> </w:t>
      </w:r>
      <w:r w:rsidR="00DB3C3B" w:rsidRPr="00ED6FE1">
        <w:rPr>
          <w:rFonts w:cs="Arial"/>
        </w:rPr>
        <w:t xml:space="preserve">No facts extraneous to the pleadings may be </w:t>
      </w:r>
      <w:r w:rsidR="00DB3C3B" w:rsidRPr="00ED6FE1">
        <w:rPr>
          <w:rFonts w:cs="Arial"/>
        </w:rPr>
        <w:lastRenderedPageBreak/>
        <w:t>considered.</w:t>
      </w:r>
      <w:r w:rsidR="00DB3C3B">
        <w:rPr>
          <w:rStyle w:val="FootnoteReference"/>
          <w:rFonts w:cs="Arial"/>
        </w:rPr>
        <w:footnoteReference w:id="4"/>
      </w:r>
      <w:r w:rsidR="00DB3C3B" w:rsidRPr="00ED6FE1">
        <w:rPr>
          <w:rFonts w:cs="Arial"/>
        </w:rPr>
        <w:t xml:space="preserve"> </w:t>
      </w:r>
      <w:r w:rsidR="002463D1" w:rsidRPr="00ED6FE1">
        <w:rPr>
          <w:rFonts w:cs="Arial"/>
        </w:rPr>
        <w:t xml:space="preserve">Insofar as there is room for doubt as to the </w:t>
      </w:r>
      <w:r w:rsidR="00DB3C3B" w:rsidRPr="00ED6FE1">
        <w:rPr>
          <w:rFonts w:cs="Arial"/>
        </w:rPr>
        <w:t xml:space="preserve">relevant </w:t>
      </w:r>
      <w:r w:rsidR="002463D1" w:rsidRPr="00ED6FE1">
        <w:rPr>
          <w:rFonts w:cs="Arial"/>
        </w:rPr>
        <w:t>factual matrix, th</w:t>
      </w:r>
      <w:r w:rsidR="00DB3C3B" w:rsidRPr="00ED6FE1">
        <w:rPr>
          <w:rFonts w:cs="Arial"/>
        </w:rPr>
        <w:t xml:space="preserve">at uncertainty should inure to the benefit of the </w:t>
      </w:r>
      <w:r w:rsidR="002463D1" w:rsidRPr="00ED6FE1">
        <w:rPr>
          <w:rFonts w:cs="Arial"/>
        </w:rPr>
        <w:t xml:space="preserve">plaintiff. </w:t>
      </w:r>
    </w:p>
    <w:p w14:paraId="5CDB930A" w14:textId="346585EF" w:rsidR="00BE6129" w:rsidRPr="00ED6FE1" w:rsidRDefault="00ED6FE1" w:rsidP="00ED6FE1">
      <w:pPr>
        <w:spacing w:after="300"/>
        <w:ind w:left="720" w:hanging="720"/>
        <w:rPr>
          <w:rFonts w:cs="Arial"/>
        </w:rPr>
      </w:pPr>
      <w:r>
        <w:rPr>
          <w:rFonts w:cs="Arial"/>
          <w:szCs w:val="24"/>
        </w:rPr>
        <w:t>[4]</w:t>
      </w:r>
      <w:r>
        <w:rPr>
          <w:rFonts w:cs="Arial"/>
          <w:szCs w:val="24"/>
        </w:rPr>
        <w:tab/>
      </w:r>
      <w:r w:rsidR="00DB3C3B" w:rsidRPr="00ED6FE1">
        <w:rPr>
          <w:rFonts w:cs="Arial"/>
        </w:rPr>
        <w:t>T</w:t>
      </w:r>
      <w:r w:rsidR="002463D1" w:rsidRPr="00ED6FE1">
        <w:rPr>
          <w:rFonts w:cs="Arial"/>
        </w:rPr>
        <w:t xml:space="preserve">he defendant’s notice of exception states that the defendant excepts to the particulars of claim on the ground “that it does not disclose a cause of action, </w:t>
      </w:r>
      <w:r w:rsidR="002463D1" w:rsidRPr="00ED6FE1">
        <w:rPr>
          <w:rFonts w:cs="Arial"/>
          <w:i/>
          <w:iCs/>
        </w:rPr>
        <w:t>alternatively</w:t>
      </w:r>
      <w:r w:rsidR="002463D1" w:rsidRPr="00ED6FE1">
        <w:rPr>
          <w:rFonts w:cs="Arial"/>
        </w:rPr>
        <w:t>, that it is vague and embarrassing”</w:t>
      </w:r>
      <w:r w:rsidR="00DB3C3B" w:rsidRPr="00ED6FE1">
        <w:rPr>
          <w:rFonts w:cs="Arial"/>
        </w:rPr>
        <w:t>. T</w:t>
      </w:r>
      <w:r w:rsidR="002463D1" w:rsidRPr="00ED6FE1">
        <w:rPr>
          <w:rFonts w:cs="Arial"/>
        </w:rPr>
        <w:t xml:space="preserve">he vague and embarrassing component is </w:t>
      </w:r>
      <w:r w:rsidR="00DB3C3B" w:rsidRPr="00ED6FE1">
        <w:rPr>
          <w:rFonts w:cs="Arial"/>
        </w:rPr>
        <w:t xml:space="preserve">however </w:t>
      </w:r>
      <w:r w:rsidR="002463D1" w:rsidRPr="00ED6FE1">
        <w:rPr>
          <w:rFonts w:cs="Arial"/>
        </w:rPr>
        <w:t>irregular</w:t>
      </w:r>
      <w:r w:rsidR="00DB3C3B" w:rsidRPr="00ED6FE1">
        <w:rPr>
          <w:rFonts w:cs="Arial"/>
        </w:rPr>
        <w:t>, as well as itself confusing</w:t>
      </w:r>
      <w:r w:rsidR="002463D1" w:rsidRPr="00ED6FE1">
        <w:rPr>
          <w:rFonts w:cs="Arial"/>
        </w:rPr>
        <w:t>.</w:t>
      </w:r>
    </w:p>
    <w:p w14:paraId="42111A69" w14:textId="263CA523" w:rsidR="00BE6129" w:rsidRPr="00ED6FE1" w:rsidRDefault="00ED6FE1" w:rsidP="00ED6FE1">
      <w:pPr>
        <w:spacing w:after="300"/>
        <w:ind w:left="1440" w:hanging="720"/>
        <w:rPr>
          <w:rFonts w:cs="Arial"/>
        </w:rPr>
      </w:pPr>
      <w:r>
        <w:rPr>
          <w:rFonts w:cs="Arial"/>
          <w:szCs w:val="24"/>
        </w:rPr>
        <w:t>4.1.</w:t>
      </w:r>
      <w:r>
        <w:rPr>
          <w:rFonts w:cs="Arial"/>
          <w:szCs w:val="24"/>
        </w:rPr>
        <w:tab/>
      </w:r>
      <w:r w:rsidR="002463D1" w:rsidRPr="00ED6FE1">
        <w:rPr>
          <w:rFonts w:cs="Arial"/>
        </w:rPr>
        <w:t xml:space="preserve">In terms of the proviso to rule 23(1), a vague and embarrassing exception must be preceded by a notice, filed within 10 days of receipt of the pleading, giving the opposing party an opportunity to remove the cause of complaint. There is no indication that such a notice was delivered in this case. The defendant’s notice of exception was moreover served about three-and-a-half months after the issuing of the summons and thus well outside the time allowed for a vague and embarrassing notice. </w:t>
      </w:r>
    </w:p>
    <w:p w14:paraId="65BC9EE6" w14:textId="4B8F50D9" w:rsidR="007E289B" w:rsidRPr="00ED6FE1" w:rsidRDefault="00ED6FE1" w:rsidP="00ED6FE1">
      <w:pPr>
        <w:spacing w:after="300"/>
        <w:ind w:left="1440" w:hanging="720"/>
        <w:rPr>
          <w:rFonts w:cs="Arial"/>
        </w:rPr>
      </w:pPr>
      <w:r>
        <w:rPr>
          <w:rFonts w:cs="Arial"/>
          <w:szCs w:val="24"/>
        </w:rPr>
        <w:t>4.2.</w:t>
      </w:r>
      <w:r>
        <w:rPr>
          <w:rFonts w:cs="Arial"/>
          <w:szCs w:val="24"/>
        </w:rPr>
        <w:tab/>
      </w:r>
      <w:r w:rsidR="002463D1" w:rsidRPr="00ED6FE1">
        <w:rPr>
          <w:rFonts w:cs="Arial"/>
        </w:rPr>
        <w:t xml:space="preserve">The contention that the particulars of claim are vague and embarrassing </w:t>
      </w:r>
      <w:r w:rsidR="00DB3C3B" w:rsidRPr="00ED6FE1">
        <w:rPr>
          <w:rFonts w:cs="Arial"/>
        </w:rPr>
        <w:t xml:space="preserve">is in any event </w:t>
      </w:r>
      <w:r w:rsidR="007E289B" w:rsidRPr="00ED6FE1">
        <w:rPr>
          <w:rFonts w:cs="Arial"/>
        </w:rPr>
        <w:t>barely</w:t>
      </w:r>
      <w:r w:rsidR="00DB3C3B" w:rsidRPr="00ED6FE1">
        <w:rPr>
          <w:rFonts w:cs="Arial"/>
        </w:rPr>
        <w:t xml:space="preserve"> motivated and without substance</w:t>
      </w:r>
      <w:r w:rsidR="002463D1" w:rsidRPr="00ED6FE1">
        <w:rPr>
          <w:rFonts w:cs="Arial"/>
        </w:rPr>
        <w:t>.</w:t>
      </w:r>
      <w:r w:rsidR="007E289B" w:rsidRPr="00ED6FE1">
        <w:rPr>
          <w:rFonts w:cs="Arial"/>
        </w:rPr>
        <w:t xml:space="preserve"> There is nothing in the particulars of claim which suggests that the plaintiff was an authorised FSP; and there is therefore nothing impermissibly vague about the particulars in that respect. The particulars are framed on the basis that Van Dyk did not need to be </w:t>
      </w:r>
      <w:r w:rsidR="007E289B" w:rsidRPr="00ED6FE1">
        <w:rPr>
          <w:rFonts w:cs="Arial"/>
        </w:rPr>
        <w:lastRenderedPageBreak/>
        <w:t>authorised under the FAIS Act. If that is wrong, then his claim lacks an averment necessary to sustain the action and would accordingly fall to be set aside pursuant to the defendant’s “no cause of action” exception.</w:t>
      </w:r>
    </w:p>
    <w:p w14:paraId="1A5D48AF" w14:textId="14B9947B" w:rsidR="00BE6129" w:rsidRPr="00ED6FE1" w:rsidRDefault="00ED6FE1" w:rsidP="00ED6FE1">
      <w:pPr>
        <w:spacing w:after="480"/>
        <w:ind w:left="1440" w:hanging="720"/>
        <w:rPr>
          <w:rFonts w:cs="Arial"/>
        </w:rPr>
      </w:pPr>
      <w:r w:rsidRPr="007E289B">
        <w:rPr>
          <w:rFonts w:cs="Arial"/>
          <w:szCs w:val="24"/>
        </w:rPr>
        <w:t>4.3.</w:t>
      </w:r>
      <w:r w:rsidRPr="007E289B">
        <w:rPr>
          <w:rFonts w:cs="Arial"/>
          <w:szCs w:val="24"/>
        </w:rPr>
        <w:tab/>
      </w:r>
      <w:r w:rsidR="003D1ABD" w:rsidRPr="00ED6FE1">
        <w:rPr>
          <w:rFonts w:cs="Arial"/>
        </w:rPr>
        <w:t>It was submitted by the defendant, with particular reference to a clause in the written agreement between the parties (referred to in more detail below), that it was incumbent on the plaintiff to plead that the FAIS Act did not apply. I do not agree that the plaintiff was required to plead a negative, and to assert that one or more statutes were not applicable, let alone plead that a requirement in the FAIS Act</w:t>
      </w:r>
      <w:r w:rsidR="007E289B" w:rsidRPr="00ED6FE1">
        <w:rPr>
          <w:rFonts w:cs="Arial"/>
        </w:rPr>
        <w:t xml:space="preserve"> (which was not referred to in the clause in question)</w:t>
      </w:r>
      <w:r w:rsidR="007E289B">
        <w:rPr>
          <w:rStyle w:val="FootnoteReference"/>
          <w:rFonts w:cs="Arial"/>
        </w:rPr>
        <w:footnoteReference w:id="5"/>
      </w:r>
      <w:r w:rsidR="003D1ABD" w:rsidRPr="00ED6FE1">
        <w:rPr>
          <w:rFonts w:cs="Arial"/>
        </w:rPr>
        <w:t xml:space="preserve"> was not triggered. It was for the defendant to raise such </w:t>
      </w:r>
      <w:r w:rsidR="007E289B" w:rsidRPr="00ED6FE1">
        <w:rPr>
          <w:rFonts w:cs="Arial"/>
        </w:rPr>
        <w:t xml:space="preserve">a point, should it be so advised, as indeed it did. Insofar as this contention underpinned the </w:t>
      </w:r>
      <w:r w:rsidR="00A21EBF" w:rsidRPr="00ED6FE1">
        <w:rPr>
          <w:rFonts w:cs="Arial"/>
        </w:rPr>
        <w:t>defendant’s vague and embarrassing exception, it was thus misconceived.</w:t>
      </w:r>
    </w:p>
    <w:p w14:paraId="5E163221" w14:textId="7B9E8D28" w:rsidR="002463D1" w:rsidRDefault="00ED6FE1" w:rsidP="00ED6FE1">
      <w:pPr>
        <w:ind w:left="720" w:hanging="720"/>
      </w:pPr>
      <w:r>
        <w:rPr>
          <w:rFonts w:cs="Times New Roman"/>
          <w:szCs w:val="24"/>
        </w:rPr>
        <w:t>[5]</w:t>
      </w:r>
      <w:r>
        <w:rPr>
          <w:rFonts w:cs="Times New Roman"/>
          <w:szCs w:val="24"/>
        </w:rPr>
        <w:tab/>
      </w:r>
      <w:r w:rsidR="00A21EBF">
        <w:t>In the circumstances, I shall focus merely on t</w:t>
      </w:r>
      <w:r w:rsidR="00180691">
        <w:t>he defendant’s</w:t>
      </w:r>
      <w:r w:rsidR="00A21EBF">
        <w:t xml:space="preserve"> no cause of action exception,</w:t>
      </w:r>
      <w:r w:rsidR="00180691">
        <w:t xml:space="preserve"> </w:t>
      </w:r>
      <w:r w:rsidR="00A21EBF">
        <w:t xml:space="preserve">and give no further consideration to the </w:t>
      </w:r>
      <w:r w:rsidR="00180691">
        <w:t xml:space="preserve">vague and embarrassing </w:t>
      </w:r>
      <w:r w:rsidR="00DB3C3B">
        <w:t>ground</w:t>
      </w:r>
      <w:r w:rsidR="00180691">
        <w:t>.</w:t>
      </w:r>
    </w:p>
    <w:p w14:paraId="43516DCC" w14:textId="01DE5235" w:rsidR="00C71E2C" w:rsidRPr="00C71E2C" w:rsidRDefault="00401FE5" w:rsidP="007B595B">
      <w:pPr>
        <w:pStyle w:val="Heading1"/>
      </w:pPr>
      <w:r>
        <w:rPr>
          <w:caps w:val="0"/>
        </w:rPr>
        <w:lastRenderedPageBreak/>
        <w:t>The plaintiff’s pleaded case</w:t>
      </w:r>
    </w:p>
    <w:p w14:paraId="5224B0ED" w14:textId="414B38D4" w:rsidR="00424ECB" w:rsidRPr="00ED6FE1" w:rsidRDefault="00ED6FE1" w:rsidP="00ED6FE1">
      <w:pPr>
        <w:spacing w:after="480"/>
        <w:ind w:left="720" w:hanging="720"/>
        <w:rPr>
          <w:rFonts w:cs="Arial"/>
        </w:rPr>
      </w:pPr>
      <w:r>
        <w:rPr>
          <w:rFonts w:cs="Arial"/>
          <w:szCs w:val="24"/>
        </w:rPr>
        <w:t>[6]</w:t>
      </w:r>
      <w:r>
        <w:rPr>
          <w:rFonts w:cs="Arial"/>
          <w:szCs w:val="24"/>
        </w:rPr>
        <w:tab/>
      </w:r>
      <w:r w:rsidR="00DB0810" w:rsidRPr="00ED6FE1">
        <w:rPr>
          <w:rFonts w:cs="Arial"/>
        </w:rPr>
        <w:t>The plaintiff</w:t>
      </w:r>
      <w:r w:rsidR="003D569C" w:rsidRPr="00ED6FE1">
        <w:rPr>
          <w:rFonts w:cs="Arial"/>
        </w:rPr>
        <w:t>, who has described himself as “a firm carrying on business as property brokers”,</w:t>
      </w:r>
      <w:r w:rsidR="00DB0810" w:rsidRPr="00ED6FE1">
        <w:rPr>
          <w:rFonts w:cs="Arial"/>
        </w:rPr>
        <w:t xml:space="preserve"> has relied in </w:t>
      </w:r>
      <w:r w:rsidR="003D569C" w:rsidRPr="00ED6FE1">
        <w:rPr>
          <w:rFonts w:cs="Arial"/>
        </w:rPr>
        <w:t>his</w:t>
      </w:r>
      <w:r w:rsidR="00DB0810" w:rsidRPr="00ED6FE1">
        <w:rPr>
          <w:rFonts w:cs="Arial"/>
        </w:rPr>
        <w:t xml:space="preserve"> particulars of claim on two agreements </w:t>
      </w:r>
      <w:r w:rsidR="00FA0385" w:rsidRPr="00ED6FE1">
        <w:rPr>
          <w:rFonts w:cs="Arial"/>
        </w:rPr>
        <w:t xml:space="preserve">stated to have been </w:t>
      </w:r>
      <w:r w:rsidR="00DB0810" w:rsidRPr="00ED6FE1">
        <w:rPr>
          <w:rFonts w:cs="Arial"/>
        </w:rPr>
        <w:t>concluded with the defendant.</w:t>
      </w:r>
    </w:p>
    <w:p w14:paraId="5F53B2BA" w14:textId="4B55B796" w:rsidR="00DB0810" w:rsidRPr="00ED6FE1" w:rsidRDefault="00ED6FE1" w:rsidP="00ED6FE1">
      <w:pPr>
        <w:spacing w:after="300"/>
        <w:ind w:left="720" w:hanging="720"/>
        <w:rPr>
          <w:rFonts w:cs="Arial"/>
        </w:rPr>
      </w:pPr>
      <w:r>
        <w:rPr>
          <w:rFonts w:cs="Arial"/>
          <w:szCs w:val="24"/>
        </w:rPr>
        <w:t>[7]</w:t>
      </w:r>
      <w:r>
        <w:rPr>
          <w:rFonts w:cs="Arial"/>
          <w:szCs w:val="24"/>
        </w:rPr>
        <w:tab/>
      </w:r>
      <w:r w:rsidR="00DB0810" w:rsidRPr="00ED6FE1">
        <w:rPr>
          <w:rFonts w:cs="Arial"/>
        </w:rPr>
        <w:t>The first is a verbal agreement defined as “the collaboration agreement”, which he alleges was concluded during or about May 2019, and which is said to contain the following terms:</w:t>
      </w:r>
    </w:p>
    <w:p w14:paraId="139768A9" w14:textId="71FFFA05" w:rsidR="00D7524B" w:rsidRPr="00ED6FE1" w:rsidRDefault="00ED6FE1" w:rsidP="00ED6FE1">
      <w:pPr>
        <w:spacing w:after="300"/>
        <w:ind w:left="1440" w:hanging="720"/>
        <w:rPr>
          <w:rFonts w:cs="Arial"/>
        </w:rPr>
      </w:pPr>
      <w:r>
        <w:rPr>
          <w:rFonts w:cs="Arial"/>
          <w:szCs w:val="24"/>
        </w:rPr>
        <w:t>7.1.</w:t>
      </w:r>
      <w:r>
        <w:rPr>
          <w:rFonts w:cs="Arial"/>
          <w:szCs w:val="24"/>
        </w:rPr>
        <w:tab/>
      </w:r>
      <w:r w:rsidR="00D7524B" w:rsidRPr="00ED6FE1">
        <w:rPr>
          <w:rFonts w:cs="Arial"/>
        </w:rPr>
        <w:t>the plaintiff was obliged to assist the defendant in securing financing for the defendant’s various property development projects by referring and introducing the defendant to potential financiers;</w:t>
      </w:r>
    </w:p>
    <w:p w14:paraId="16D32A8E" w14:textId="350DB368" w:rsidR="00D7524B" w:rsidRPr="00ED6FE1" w:rsidRDefault="00ED6FE1" w:rsidP="00ED6FE1">
      <w:pPr>
        <w:spacing w:after="300"/>
        <w:ind w:left="1440" w:hanging="720"/>
        <w:rPr>
          <w:rFonts w:cs="Arial"/>
        </w:rPr>
      </w:pPr>
      <w:r>
        <w:rPr>
          <w:rFonts w:cs="Arial"/>
          <w:szCs w:val="24"/>
        </w:rPr>
        <w:t>7.2.</w:t>
      </w:r>
      <w:r>
        <w:rPr>
          <w:rFonts w:cs="Arial"/>
          <w:szCs w:val="24"/>
        </w:rPr>
        <w:tab/>
      </w:r>
      <w:r w:rsidR="00D7524B" w:rsidRPr="00ED6FE1">
        <w:rPr>
          <w:rFonts w:cs="Arial"/>
        </w:rPr>
        <w:t>the plaintiff would receive a commission for its assistance in obtaining financing for the defendant by referring and introducing potential financiers to it; and</w:t>
      </w:r>
    </w:p>
    <w:p w14:paraId="0AC0387B" w14:textId="2B2B0782" w:rsidR="00D7524B" w:rsidRPr="00ED6FE1" w:rsidRDefault="00ED6FE1" w:rsidP="00ED6FE1">
      <w:pPr>
        <w:spacing w:after="480"/>
        <w:ind w:left="1440" w:hanging="720"/>
        <w:rPr>
          <w:rFonts w:cs="Arial"/>
        </w:rPr>
      </w:pPr>
      <w:r>
        <w:rPr>
          <w:rFonts w:cs="Arial"/>
          <w:szCs w:val="24"/>
        </w:rPr>
        <w:t>7.3.</w:t>
      </w:r>
      <w:r>
        <w:rPr>
          <w:rFonts w:cs="Arial"/>
          <w:szCs w:val="24"/>
        </w:rPr>
        <w:tab/>
      </w:r>
      <w:r w:rsidR="00D7524B" w:rsidRPr="00ED6FE1">
        <w:rPr>
          <w:rFonts w:cs="Arial"/>
        </w:rPr>
        <w:t>the plaintiff’s commission would be calculated at 4% (plus VAT) of the amount of financing obtained by the defendant, unless otherwise agre</w:t>
      </w:r>
      <w:r w:rsidR="00F8133D" w:rsidRPr="00ED6FE1">
        <w:rPr>
          <w:rFonts w:cs="Arial"/>
        </w:rPr>
        <w:t>ed upon in writing by both parties.</w:t>
      </w:r>
    </w:p>
    <w:p w14:paraId="1AD2A1DE" w14:textId="05FDDCE1" w:rsidR="00DB0810" w:rsidRPr="00ED6FE1" w:rsidRDefault="00ED6FE1" w:rsidP="00ED6FE1">
      <w:pPr>
        <w:spacing w:after="300"/>
        <w:ind w:left="720" w:hanging="720"/>
        <w:rPr>
          <w:rFonts w:cs="Arial"/>
        </w:rPr>
      </w:pPr>
      <w:r>
        <w:rPr>
          <w:rFonts w:cs="Arial"/>
          <w:szCs w:val="24"/>
        </w:rPr>
        <w:t>[8]</w:t>
      </w:r>
      <w:r>
        <w:rPr>
          <w:rFonts w:cs="Arial"/>
          <w:szCs w:val="24"/>
        </w:rPr>
        <w:tab/>
      </w:r>
      <w:r w:rsidR="00DB0810" w:rsidRPr="00ED6FE1">
        <w:rPr>
          <w:rFonts w:cs="Arial"/>
        </w:rPr>
        <w:t xml:space="preserve">The second </w:t>
      </w:r>
      <w:r w:rsidR="00F8133D" w:rsidRPr="00ED6FE1">
        <w:rPr>
          <w:rFonts w:cs="Arial"/>
        </w:rPr>
        <w:t xml:space="preserve">contract </w:t>
      </w:r>
      <w:r w:rsidR="00DB0810" w:rsidRPr="00ED6FE1">
        <w:rPr>
          <w:rFonts w:cs="Arial"/>
        </w:rPr>
        <w:t xml:space="preserve">is a written agreement defined as “the brokerage agreement”, which is alleged to have been concluded on or around 9 February 2021, and is </w:t>
      </w:r>
      <w:r w:rsidR="00FA0385" w:rsidRPr="00ED6FE1">
        <w:rPr>
          <w:rFonts w:cs="Arial"/>
        </w:rPr>
        <w:t>alleged</w:t>
      </w:r>
      <w:r w:rsidR="00DB0810" w:rsidRPr="00ED6FE1">
        <w:rPr>
          <w:rFonts w:cs="Arial"/>
        </w:rPr>
        <w:t xml:space="preserve"> to have been intended to accomplish at least two things:</w:t>
      </w:r>
    </w:p>
    <w:p w14:paraId="7033A5AF" w14:textId="0713CB94" w:rsidR="00F8133D" w:rsidRPr="00ED6FE1" w:rsidRDefault="00ED6FE1" w:rsidP="00ED6FE1">
      <w:pPr>
        <w:spacing w:after="300"/>
        <w:ind w:left="1440" w:hanging="720"/>
        <w:rPr>
          <w:rFonts w:cs="Arial"/>
        </w:rPr>
      </w:pPr>
      <w:r>
        <w:rPr>
          <w:rFonts w:cs="Arial"/>
          <w:szCs w:val="24"/>
        </w:rPr>
        <w:lastRenderedPageBreak/>
        <w:t>8.1.</w:t>
      </w:r>
      <w:r>
        <w:rPr>
          <w:rFonts w:cs="Arial"/>
          <w:szCs w:val="24"/>
        </w:rPr>
        <w:tab/>
      </w:r>
      <w:r w:rsidR="00FA0385" w:rsidRPr="00ED6FE1">
        <w:rPr>
          <w:rFonts w:cs="Arial"/>
        </w:rPr>
        <w:t>confirm the plaintiff’s responsibilities in terms of the collaboration agreement, specifically in relation to the Môreson Development and Fynbos Development projects; and</w:t>
      </w:r>
    </w:p>
    <w:p w14:paraId="47B282F4" w14:textId="1BFA4CC0" w:rsidR="00FA0385" w:rsidRPr="00ED6FE1" w:rsidRDefault="00ED6FE1" w:rsidP="00ED6FE1">
      <w:pPr>
        <w:spacing w:after="480"/>
        <w:ind w:left="1440" w:hanging="720"/>
        <w:rPr>
          <w:rFonts w:cs="Arial"/>
        </w:rPr>
      </w:pPr>
      <w:r>
        <w:rPr>
          <w:rFonts w:cs="Arial"/>
          <w:szCs w:val="24"/>
        </w:rPr>
        <w:t>8.2.</w:t>
      </w:r>
      <w:r>
        <w:rPr>
          <w:rFonts w:cs="Arial"/>
          <w:szCs w:val="24"/>
        </w:rPr>
        <w:tab/>
      </w:r>
      <w:r w:rsidR="00FA0385" w:rsidRPr="00ED6FE1">
        <w:rPr>
          <w:rFonts w:cs="Arial"/>
        </w:rPr>
        <w:t>revise the terms of the collaboration agreement concerning the commission payable to the plaintiff for the Môreson Development and Fynbos Development projects.</w:t>
      </w:r>
    </w:p>
    <w:p w14:paraId="0C407A2A" w14:textId="07471AAA" w:rsidR="00DB0810" w:rsidRPr="00ED6FE1" w:rsidRDefault="00ED6FE1" w:rsidP="00ED6FE1">
      <w:pPr>
        <w:spacing w:after="300"/>
        <w:ind w:left="720" w:hanging="720"/>
        <w:rPr>
          <w:rFonts w:cs="Arial"/>
        </w:rPr>
      </w:pPr>
      <w:r>
        <w:rPr>
          <w:rFonts w:cs="Arial"/>
          <w:szCs w:val="24"/>
        </w:rPr>
        <w:t>[9]</w:t>
      </w:r>
      <w:r>
        <w:rPr>
          <w:rFonts w:cs="Arial"/>
          <w:szCs w:val="24"/>
        </w:rPr>
        <w:tab/>
      </w:r>
      <w:r w:rsidR="00DB0810" w:rsidRPr="00ED6FE1">
        <w:rPr>
          <w:rFonts w:cs="Arial"/>
        </w:rPr>
        <w:t xml:space="preserve">The material terms of the brokerage agreement, which is annexed to the particulars of claim, are averred </w:t>
      </w:r>
      <w:r w:rsidR="00180691" w:rsidRPr="00ED6FE1">
        <w:rPr>
          <w:rFonts w:cs="Arial"/>
        </w:rPr>
        <w:t xml:space="preserve">in the particulars of claim </w:t>
      </w:r>
      <w:r w:rsidR="00DB0810" w:rsidRPr="00ED6FE1">
        <w:rPr>
          <w:rFonts w:cs="Arial"/>
        </w:rPr>
        <w:t>to be:</w:t>
      </w:r>
    </w:p>
    <w:p w14:paraId="34880533" w14:textId="494F0120" w:rsidR="00FA0385" w:rsidRPr="00ED6FE1" w:rsidRDefault="00ED6FE1" w:rsidP="00ED6FE1">
      <w:pPr>
        <w:spacing w:after="300"/>
        <w:ind w:left="1440" w:hanging="720"/>
        <w:rPr>
          <w:rFonts w:cs="Arial"/>
        </w:rPr>
      </w:pPr>
      <w:r>
        <w:rPr>
          <w:rFonts w:cs="Arial"/>
          <w:szCs w:val="24"/>
        </w:rPr>
        <w:t>9.1.</w:t>
      </w:r>
      <w:r>
        <w:rPr>
          <w:rFonts w:cs="Arial"/>
          <w:szCs w:val="24"/>
        </w:rPr>
        <w:tab/>
      </w:r>
      <w:r w:rsidR="00FA0385" w:rsidRPr="00ED6FE1">
        <w:rPr>
          <w:rFonts w:cs="Arial"/>
        </w:rPr>
        <w:t>that the plaintiff may refer prospective financiers to the defendant from time to time on a non-exclusive basis;</w:t>
      </w:r>
    </w:p>
    <w:p w14:paraId="02019DD7" w14:textId="10A4CD32" w:rsidR="00FA0385" w:rsidRPr="00ED6FE1" w:rsidRDefault="00ED6FE1" w:rsidP="00ED6FE1">
      <w:pPr>
        <w:spacing w:after="300"/>
        <w:ind w:left="1440" w:hanging="720"/>
        <w:rPr>
          <w:rFonts w:cs="Arial"/>
        </w:rPr>
      </w:pPr>
      <w:r>
        <w:rPr>
          <w:rFonts w:cs="Arial"/>
          <w:szCs w:val="24"/>
        </w:rPr>
        <w:t>9.2.</w:t>
      </w:r>
      <w:r>
        <w:rPr>
          <w:rFonts w:cs="Arial"/>
          <w:szCs w:val="24"/>
        </w:rPr>
        <w:tab/>
      </w:r>
      <w:r w:rsidR="00FA0385" w:rsidRPr="00ED6FE1">
        <w:rPr>
          <w:rFonts w:cs="Arial"/>
        </w:rPr>
        <w:t>that the plaintiff shall refer the name and contact details of prospective financiers to the defendant for the consideration of the granting of a loan;</w:t>
      </w:r>
    </w:p>
    <w:p w14:paraId="44E8948D" w14:textId="75D1745F" w:rsidR="00FA0385" w:rsidRPr="00ED6FE1" w:rsidRDefault="00ED6FE1" w:rsidP="00ED6FE1">
      <w:pPr>
        <w:spacing w:after="300"/>
        <w:ind w:left="1440" w:hanging="720"/>
        <w:rPr>
          <w:rFonts w:cs="Arial"/>
        </w:rPr>
      </w:pPr>
      <w:r w:rsidRPr="00FA0385">
        <w:rPr>
          <w:rFonts w:cs="Arial"/>
          <w:szCs w:val="24"/>
        </w:rPr>
        <w:t>9.3.</w:t>
      </w:r>
      <w:r w:rsidRPr="00FA0385">
        <w:rPr>
          <w:rFonts w:cs="Arial"/>
          <w:szCs w:val="24"/>
        </w:rPr>
        <w:tab/>
      </w:r>
      <w:r w:rsidR="00FA0385" w:rsidRPr="00ED6FE1">
        <w:rPr>
          <w:rFonts w:cs="Arial"/>
        </w:rPr>
        <w:t>that the defendant must pay the plaintiff a brokerage fee in the amount of R1 million in the event that the defendant obtains funding in the amount of R30 million for its Môreson Development project, and R2 million in the event that the defendant obtains funding in the amount of R52 million for its Fynbos Development project;</w:t>
      </w:r>
    </w:p>
    <w:p w14:paraId="60B50606" w14:textId="4FDB4C93" w:rsidR="00FA0385" w:rsidRPr="00ED6FE1" w:rsidRDefault="00ED6FE1" w:rsidP="00ED6FE1">
      <w:pPr>
        <w:spacing w:after="300"/>
        <w:ind w:left="1440" w:hanging="720"/>
        <w:rPr>
          <w:rFonts w:cs="Arial"/>
        </w:rPr>
      </w:pPr>
      <w:r>
        <w:rPr>
          <w:rFonts w:cs="Arial"/>
          <w:szCs w:val="24"/>
        </w:rPr>
        <w:t>9.4.</w:t>
      </w:r>
      <w:r>
        <w:rPr>
          <w:rFonts w:cs="Arial"/>
          <w:szCs w:val="24"/>
        </w:rPr>
        <w:tab/>
      </w:r>
      <w:r w:rsidR="00FA0385" w:rsidRPr="00ED6FE1">
        <w:rPr>
          <w:rFonts w:cs="Arial"/>
        </w:rPr>
        <w:t>that the fees payable to the plaintiff in respect of the projects shall be reduced pro rata should the funding obtained for the projects be less than the amounts stipulated above; and</w:t>
      </w:r>
    </w:p>
    <w:p w14:paraId="0C5BF321" w14:textId="62DC35BC" w:rsidR="00FA0385" w:rsidRPr="00ED6FE1" w:rsidRDefault="00ED6FE1" w:rsidP="00ED6FE1">
      <w:pPr>
        <w:spacing w:after="480"/>
        <w:ind w:left="1440" w:hanging="720"/>
        <w:rPr>
          <w:rFonts w:cs="Arial"/>
        </w:rPr>
      </w:pPr>
      <w:r>
        <w:rPr>
          <w:rFonts w:cs="Arial"/>
          <w:szCs w:val="24"/>
        </w:rPr>
        <w:lastRenderedPageBreak/>
        <w:t>9.5.</w:t>
      </w:r>
      <w:r>
        <w:rPr>
          <w:rFonts w:cs="Arial"/>
          <w:szCs w:val="24"/>
        </w:rPr>
        <w:tab/>
      </w:r>
      <w:r w:rsidR="00FA0385" w:rsidRPr="00ED6FE1">
        <w:rPr>
          <w:rFonts w:cs="Arial"/>
        </w:rPr>
        <w:t>that the plaintiff’s fees are payable upon presentation of the plaintiff’s invoice or on the date that the defendant receives funding from its chosen financier, whichever occurs last.</w:t>
      </w:r>
    </w:p>
    <w:p w14:paraId="325A6AF1" w14:textId="2BA6058C" w:rsidR="00180691" w:rsidRPr="00ED6FE1" w:rsidRDefault="00ED6FE1" w:rsidP="00ED6FE1">
      <w:pPr>
        <w:spacing w:after="300"/>
        <w:ind w:left="720" w:hanging="720"/>
        <w:rPr>
          <w:rFonts w:cs="Arial"/>
        </w:rPr>
      </w:pPr>
      <w:r>
        <w:rPr>
          <w:rFonts w:cs="Arial"/>
          <w:szCs w:val="24"/>
        </w:rPr>
        <w:t>[10]</w:t>
      </w:r>
      <w:r>
        <w:rPr>
          <w:rFonts w:cs="Arial"/>
          <w:szCs w:val="24"/>
        </w:rPr>
        <w:tab/>
      </w:r>
      <w:r w:rsidR="00B21A3D" w:rsidRPr="00ED6FE1">
        <w:rPr>
          <w:rFonts w:cs="Arial"/>
        </w:rPr>
        <w:t xml:space="preserve">Although not mentioned in the </w:t>
      </w:r>
      <w:r w:rsidR="00851802" w:rsidRPr="00ED6FE1">
        <w:rPr>
          <w:rFonts w:cs="Arial"/>
        </w:rPr>
        <w:t xml:space="preserve">body of the </w:t>
      </w:r>
      <w:r w:rsidR="00B21A3D" w:rsidRPr="00ED6FE1">
        <w:rPr>
          <w:rFonts w:cs="Arial"/>
        </w:rPr>
        <w:t>particulars of claim, it is apparent from the brokerage agreement appended thereto that Van Dyk</w:t>
      </w:r>
      <w:r w:rsidR="00180691" w:rsidRPr="00ED6FE1">
        <w:rPr>
          <w:rFonts w:cs="Arial"/>
        </w:rPr>
        <w:t>, who is</w:t>
      </w:r>
      <w:r w:rsidR="00B21A3D" w:rsidRPr="00ED6FE1">
        <w:rPr>
          <w:rFonts w:cs="Arial"/>
        </w:rPr>
        <w:t xml:space="preserve"> defined </w:t>
      </w:r>
      <w:r w:rsidR="00180691" w:rsidRPr="00ED6FE1">
        <w:rPr>
          <w:rFonts w:cs="Arial"/>
        </w:rPr>
        <w:t>therein</w:t>
      </w:r>
      <w:r w:rsidR="00B21A3D" w:rsidRPr="00ED6FE1">
        <w:rPr>
          <w:rFonts w:cs="Arial"/>
        </w:rPr>
        <w:t xml:space="preserve"> as</w:t>
      </w:r>
      <w:r w:rsidR="00495235" w:rsidRPr="00ED6FE1">
        <w:rPr>
          <w:rFonts w:cs="Arial"/>
        </w:rPr>
        <w:t xml:space="preserve"> </w:t>
      </w:r>
      <w:r w:rsidR="00B21A3D" w:rsidRPr="00ED6FE1">
        <w:rPr>
          <w:rFonts w:cs="Arial"/>
        </w:rPr>
        <w:t>“Broker”</w:t>
      </w:r>
      <w:r w:rsidR="00180691" w:rsidRPr="00ED6FE1">
        <w:rPr>
          <w:rFonts w:cs="Arial"/>
        </w:rPr>
        <w:t>:</w:t>
      </w:r>
    </w:p>
    <w:p w14:paraId="52490871" w14:textId="1AB7C35B" w:rsidR="00B21A3D" w:rsidRPr="00ED6FE1" w:rsidRDefault="00ED6FE1" w:rsidP="00ED6FE1">
      <w:pPr>
        <w:spacing w:after="300"/>
        <w:ind w:left="1440" w:hanging="720"/>
        <w:rPr>
          <w:rFonts w:cs="Arial"/>
        </w:rPr>
      </w:pPr>
      <w:r>
        <w:rPr>
          <w:rFonts w:cs="Arial"/>
          <w:szCs w:val="24"/>
        </w:rPr>
        <w:t>10.1.</w:t>
      </w:r>
      <w:r>
        <w:rPr>
          <w:rFonts w:cs="Arial"/>
          <w:szCs w:val="24"/>
        </w:rPr>
        <w:tab/>
      </w:r>
      <w:r w:rsidR="00B21A3D" w:rsidRPr="00ED6FE1">
        <w:rPr>
          <w:rFonts w:cs="Arial"/>
        </w:rPr>
        <w:t xml:space="preserve">shall, upon request by the financiers, be required to adhere to any additional requirements imposed upon the </w:t>
      </w:r>
      <w:r w:rsidR="007B2A77" w:rsidRPr="00ED6FE1">
        <w:rPr>
          <w:rFonts w:cs="Arial"/>
        </w:rPr>
        <w:t>funders</w:t>
      </w:r>
      <w:r w:rsidR="00B21A3D" w:rsidRPr="00ED6FE1">
        <w:rPr>
          <w:rFonts w:cs="Arial"/>
        </w:rPr>
        <w:t xml:space="preserve"> by the financial services industry or legislation</w:t>
      </w:r>
      <w:r w:rsidR="00BE6129" w:rsidRPr="00ED6FE1">
        <w:rPr>
          <w:rFonts w:cs="Arial"/>
        </w:rPr>
        <w:t>,</w:t>
      </w:r>
      <w:r w:rsidR="00B21A3D" w:rsidRPr="00ED6FE1">
        <w:rPr>
          <w:rFonts w:cs="Arial"/>
        </w:rPr>
        <w:t xml:space="preserve"> including but not limited to the Financial Intelligence Centre Act </w:t>
      </w:r>
      <w:r w:rsidR="00BE6129" w:rsidRPr="00ED6FE1">
        <w:rPr>
          <w:rFonts w:cs="Arial"/>
        </w:rPr>
        <w:t>(</w:t>
      </w:r>
      <w:r w:rsidR="00B21A3D" w:rsidRPr="00ED6FE1">
        <w:rPr>
          <w:rFonts w:cs="Arial"/>
        </w:rPr>
        <w:t>FICA</w:t>
      </w:r>
      <w:r w:rsidR="00BE6129" w:rsidRPr="00ED6FE1">
        <w:rPr>
          <w:rFonts w:cs="Arial"/>
        </w:rPr>
        <w:t>)</w:t>
      </w:r>
      <w:r w:rsidR="00B21A3D" w:rsidRPr="00ED6FE1">
        <w:rPr>
          <w:rFonts w:cs="Arial"/>
        </w:rPr>
        <w:t xml:space="preserve"> and the National Credit Act</w:t>
      </w:r>
      <w:r w:rsidR="00180691" w:rsidRPr="00ED6FE1">
        <w:rPr>
          <w:rFonts w:cs="Arial"/>
        </w:rPr>
        <w:t>;</w:t>
      </w:r>
    </w:p>
    <w:p w14:paraId="3FE722BA" w14:textId="63505868" w:rsidR="00180691" w:rsidRPr="00ED6FE1" w:rsidRDefault="00ED6FE1" w:rsidP="00ED6FE1">
      <w:pPr>
        <w:spacing w:after="300"/>
        <w:ind w:left="1440" w:hanging="720"/>
        <w:rPr>
          <w:rFonts w:cs="Arial"/>
        </w:rPr>
      </w:pPr>
      <w:r>
        <w:rPr>
          <w:rFonts w:cs="Arial"/>
          <w:szCs w:val="24"/>
        </w:rPr>
        <w:t>10.2.</w:t>
      </w:r>
      <w:r>
        <w:rPr>
          <w:rFonts w:cs="Arial"/>
          <w:szCs w:val="24"/>
        </w:rPr>
        <w:tab/>
      </w:r>
      <w:r w:rsidR="00180691" w:rsidRPr="00ED6FE1">
        <w:rPr>
          <w:rFonts w:cs="Arial"/>
        </w:rPr>
        <w:t xml:space="preserve">has no power to act as, and is not, an agent of the </w:t>
      </w:r>
      <w:r w:rsidR="007B2A77" w:rsidRPr="00ED6FE1">
        <w:rPr>
          <w:rFonts w:cs="Arial"/>
        </w:rPr>
        <w:t>p</w:t>
      </w:r>
      <w:r w:rsidR="00180691" w:rsidRPr="00ED6FE1">
        <w:rPr>
          <w:rFonts w:cs="Arial"/>
        </w:rPr>
        <w:t xml:space="preserve">arties and, in particular, but without limitation, may not incur any liability on behalf of, make any contract binding on, give or make or purport to give or make any warranty or representation on behalf of the </w:t>
      </w:r>
      <w:r w:rsidR="007B2A77" w:rsidRPr="00ED6FE1">
        <w:rPr>
          <w:rFonts w:cs="Arial"/>
        </w:rPr>
        <w:t>funders</w:t>
      </w:r>
      <w:r w:rsidR="00180691" w:rsidRPr="00ED6FE1">
        <w:rPr>
          <w:rFonts w:cs="Arial"/>
        </w:rPr>
        <w:t xml:space="preserve"> or in any other way act for the </w:t>
      </w:r>
      <w:r w:rsidR="007B2A77" w:rsidRPr="00ED6FE1">
        <w:rPr>
          <w:rFonts w:cs="Arial"/>
        </w:rPr>
        <w:t>funders</w:t>
      </w:r>
      <w:r w:rsidR="00180691" w:rsidRPr="00ED6FE1">
        <w:rPr>
          <w:rFonts w:cs="Arial"/>
        </w:rPr>
        <w:t>; and</w:t>
      </w:r>
    </w:p>
    <w:p w14:paraId="352139CA" w14:textId="6DD97E0A" w:rsidR="00180691" w:rsidRPr="00ED6FE1" w:rsidRDefault="00ED6FE1" w:rsidP="00ED6FE1">
      <w:pPr>
        <w:spacing w:after="480"/>
        <w:ind w:left="1440" w:hanging="720"/>
        <w:rPr>
          <w:rFonts w:cs="Arial"/>
        </w:rPr>
      </w:pPr>
      <w:r>
        <w:rPr>
          <w:rFonts w:cs="Arial"/>
          <w:szCs w:val="24"/>
        </w:rPr>
        <w:t>10.3.</w:t>
      </w:r>
      <w:r>
        <w:rPr>
          <w:rFonts w:cs="Arial"/>
          <w:szCs w:val="24"/>
        </w:rPr>
        <w:tab/>
      </w:r>
      <w:r w:rsidR="00180691" w:rsidRPr="00ED6FE1">
        <w:rPr>
          <w:rFonts w:cs="Arial"/>
        </w:rPr>
        <w:t xml:space="preserve">shall have no authority to approve a facility on behalf of the </w:t>
      </w:r>
      <w:r w:rsidR="007B2A77" w:rsidRPr="00ED6FE1">
        <w:rPr>
          <w:rFonts w:cs="Arial"/>
        </w:rPr>
        <w:t>funders</w:t>
      </w:r>
      <w:r w:rsidR="00180691" w:rsidRPr="00ED6FE1">
        <w:rPr>
          <w:rFonts w:cs="Arial"/>
        </w:rPr>
        <w:t xml:space="preserve">, or represent that </w:t>
      </w:r>
      <w:r w:rsidR="007B2A77" w:rsidRPr="00ED6FE1">
        <w:rPr>
          <w:rFonts w:cs="Arial"/>
        </w:rPr>
        <w:t>any funder</w:t>
      </w:r>
      <w:r w:rsidR="00180691" w:rsidRPr="00ED6FE1">
        <w:rPr>
          <w:rFonts w:cs="Arial"/>
        </w:rPr>
        <w:t xml:space="preserve"> is likely to approve a </w:t>
      </w:r>
      <w:r w:rsidR="00BE6129" w:rsidRPr="00ED6FE1">
        <w:rPr>
          <w:rFonts w:cs="Arial"/>
        </w:rPr>
        <w:t>l</w:t>
      </w:r>
      <w:r w:rsidR="00180691" w:rsidRPr="00ED6FE1">
        <w:rPr>
          <w:rFonts w:cs="Arial"/>
        </w:rPr>
        <w:t>oan</w:t>
      </w:r>
      <w:r w:rsidR="007E29A7" w:rsidRPr="00ED6FE1">
        <w:rPr>
          <w:rFonts w:cs="Arial"/>
        </w:rPr>
        <w:t>.</w:t>
      </w:r>
    </w:p>
    <w:p w14:paraId="04E85CBA" w14:textId="2610D53D" w:rsidR="00401FE5" w:rsidRPr="00ED6FE1" w:rsidRDefault="00ED6FE1" w:rsidP="00ED6FE1">
      <w:pPr>
        <w:spacing w:after="300"/>
        <w:ind w:left="720" w:hanging="720"/>
        <w:rPr>
          <w:rFonts w:cs="Arial"/>
        </w:rPr>
      </w:pPr>
      <w:r>
        <w:rPr>
          <w:rFonts w:cs="Arial"/>
          <w:szCs w:val="24"/>
        </w:rPr>
        <w:t>[11]</w:t>
      </w:r>
      <w:r>
        <w:rPr>
          <w:rFonts w:cs="Arial"/>
          <w:szCs w:val="24"/>
        </w:rPr>
        <w:tab/>
      </w:r>
      <w:r w:rsidR="00401FE5" w:rsidRPr="00ED6FE1">
        <w:rPr>
          <w:rFonts w:cs="Arial"/>
        </w:rPr>
        <w:t>According to the plaintiff, he complied with his obligations under the collaboration agreement and the brokerage agreement by referring the name and contact details of Credit Smith Capital Partners (Pty) Ltd (</w:t>
      </w:r>
      <w:r w:rsidR="00401FE5" w:rsidRPr="00ED6FE1">
        <w:rPr>
          <w:rFonts w:cs="Arial"/>
          <w:b/>
          <w:bCs/>
        </w:rPr>
        <w:t>Credit Smith</w:t>
      </w:r>
      <w:r w:rsidR="00401FE5" w:rsidRPr="00ED6FE1">
        <w:rPr>
          <w:rFonts w:cs="Arial"/>
        </w:rPr>
        <w:t>) and an investment analyst of Credit Smith, Chris Davis, to the defendant.</w:t>
      </w:r>
    </w:p>
    <w:p w14:paraId="676244C6" w14:textId="613F532A" w:rsidR="00401FE5" w:rsidRPr="00ED6FE1" w:rsidRDefault="00ED6FE1" w:rsidP="00ED6FE1">
      <w:pPr>
        <w:spacing w:after="300"/>
        <w:ind w:left="720" w:hanging="720"/>
        <w:rPr>
          <w:rFonts w:cs="Arial"/>
        </w:rPr>
      </w:pPr>
      <w:r>
        <w:rPr>
          <w:rFonts w:cs="Arial"/>
          <w:szCs w:val="24"/>
        </w:rPr>
        <w:lastRenderedPageBreak/>
        <w:t>[12]</w:t>
      </w:r>
      <w:r>
        <w:rPr>
          <w:rFonts w:cs="Arial"/>
          <w:szCs w:val="24"/>
        </w:rPr>
        <w:tab/>
      </w:r>
      <w:r w:rsidR="00401FE5" w:rsidRPr="00ED6FE1">
        <w:rPr>
          <w:rFonts w:cs="Arial"/>
        </w:rPr>
        <w:t>The plaintiff has further alleged that:</w:t>
      </w:r>
    </w:p>
    <w:p w14:paraId="66B53A9E" w14:textId="64CD0ED9" w:rsidR="00401FE5" w:rsidRPr="00ED6FE1" w:rsidRDefault="00ED6FE1" w:rsidP="00ED6FE1">
      <w:pPr>
        <w:spacing w:after="300"/>
        <w:ind w:left="1440" w:hanging="720"/>
        <w:rPr>
          <w:rFonts w:cs="Arial"/>
        </w:rPr>
      </w:pPr>
      <w:r>
        <w:rPr>
          <w:rFonts w:cs="Arial"/>
          <w:szCs w:val="24"/>
        </w:rPr>
        <w:t>12.1.</w:t>
      </w:r>
      <w:r>
        <w:rPr>
          <w:rFonts w:cs="Arial"/>
          <w:szCs w:val="24"/>
        </w:rPr>
        <w:tab/>
      </w:r>
      <w:r w:rsidR="007B2A77" w:rsidRPr="00ED6FE1">
        <w:rPr>
          <w:rFonts w:cs="Arial"/>
        </w:rPr>
        <w:t>o</w:t>
      </w:r>
      <w:r w:rsidR="00401FE5" w:rsidRPr="00ED6FE1">
        <w:rPr>
          <w:rFonts w:cs="Arial"/>
        </w:rPr>
        <w:t>n or about 8 November 2021, Mr Davis sent a final term sheet to the plaintiff and the defendant, confirming that the defendant had obtained funding for its Fynbos Development project in the amount of R30</w:t>
      </w:r>
      <w:r w:rsidR="00AE3010" w:rsidRPr="00ED6FE1">
        <w:rPr>
          <w:rFonts w:cs="Arial"/>
        </w:rPr>
        <w:t> </w:t>
      </w:r>
      <w:r w:rsidR="00401FE5" w:rsidRPr="00ED6FE1">
        <w:rPr>
          <w:rFonts w:cs="Arial"/>
        </w:rPr>
        <w:t>million;</w:t>
      </w:r>
    </w:p>
    <w:p w14:paraId="3D7CF083" w14:textId="44A360FF" w:rsidR="00401FE5" w:rsidRPr="00ED6FE1" w:rsidRDefault="00ED6FE1" w:rsidP="00ED6FE1">
      <w:pPr>
        <w:spacing w:after="300"/>
        <w:ind w:left="1440" w:hanging="720"/>
        <w:rPr>
          <w:rFonts w:cs="Arial"/>
        </w:rPr>
      </w:pPr>
      <w:r>
        <w:rPr>
          <w:rFonts w:cs="Arial"/>
          <w:szCs w:val="24"/>
        </w:rPr>
        <w:t>12.2.</w:t>
      </w:r>
      <w:r>
        <w:rPr>
          <w:rFonts w:cs="Arial"/>
          <w:szCs w:val="24"/>
        </w:rPr>
        <w:tab/>
      </w:r>
      <w:r w:rsidR="007B2A77" w:rsidRPr="00ED6FE1">
        <w:rPr>
          <w:rFonts w:cs="Arial"/>
        </w:rPr>
        <w:t>t</w:t>
      </w:r>
      <w:r w:rsidR="00401FE5" w:rsidRPr="00ED6FE1">
        <w:rPr>
          <w:rFonts w:cs="Arial"/>
        </w:rPr>
        <w:t>he defendant received R14 million in funding from its selected financier for the Fynbos Development project between 8 November 2021 and 10</w:t>
      </w:r>
      <w:r w:rsidR="00805C08" w:rsidRPr="00ED6FE1">
        <w:rPr>
          <w:rFonts w:cs="Arial"/>
        </w:rPr>
        <w:t> </w:t>
      </w:r>
      <w:r w:rsidR="00401FE5" w:rsidRPr="00ED6FE1">
        <w:rPr>
          <w:rFonts w:cs="Arial"/>
        </w:rPr>
        <w:t>May 2022, and a further R16 million in funding from the same financier after 10 May 2022;</w:t>
      </w:r>
    </w:p>
    <w:p w14:paraId="580016E8" w14:textId="112AAECA" w:rsidR="00401FE5" w:rsidRPr="00ED6FE1" w:rsidRDefault="00ED6FE1" w:rsidP="00ED6FE1">
      <w:pPr>
        <w:spacing w:after="480"/>
        <w:ind w:left="1440" w:hanging="720"/>
        <w:rPr>
          <w:rFonts w:cs="Arial"/>
        </w:rPr>
      </w:pPr>
      <w:r>
        <w:rPr>
          <w:rFonts w:cs="Arial"/>
          <w:szCs w:val="24"/>
        </w:rPr>
        <w:t>12.3.</w:t>
      </w:r>
      <w:r>
        <w:rPr>
          <w:rFonts w:cs="Arial"/>
          <w:szCs w:val="24"/>
        </w:rPr>
        <w:tab/>
      </w:r>
      <w:r w:rsidR="007B2A77" w:rsidRPr="00ED6FE1">
        <w:rPr>
          <w:rFonts w:cs="Arial"/>
        </w:rPr>
        <w:t>a</w:t>
      </w:r>
      <w:r w:rsidR="00401FE5" w:rsidRPr="00ED6FE1">
        <w:rPr>
          <w:rFonts w:cs="Arial"/>
        </w:rPr>
        <w:t>s a result, the defendant is liable to the plaintiff for the brokerage fee in relation to the Fynbos Development project.</w:t>
      </w:r>
    </w:p>
    <w:p w14:paraId="38F33925" w14:textId="07BC7929" w:rsidR="00B21A3D" w:rsidRPr="00ED6FE1" w:rsidRDefault="00ED6FE1" w:rsidP="00ED6FE1">
      <w:pPr>
        <w:spacing w:after="480"/>
        <w:ind w:left="720" w:hanging="720"/>
        <w:rPr>
          <w:rFonts w:cs="Arial"/>
        </w:rPr>
      </w:pPr>
      <w:r>
        <w:rPr>
          <w:rFonts w:cs="Arial"/>
          <w:szCs w:val="24"/>
        </w:rPr>
        <w:t>[13]</w:t>
      </w:r>
      <w:r>
        <w:rPr>
          <w:rFonts w:cs="Arial"/>
          <w:szCs w:val="24"/>
        </w:rPr>
        <w:tab/>
      </w:r>
      <w:r w:rsidR="00B21A3D" w:rsidRPr="00ED6FE1">
        <w:rPr>
          <w:rFonts w:cs="Arial"/>
        </w:rPr>
        <w:t>It is evident from the final term sheet and covering email annexed to the particulars of claim that the R30 million funding for the Fynbos Development was provided to the defendant by a company called Salicure 2 (Pty) Ltd</w:t>
      </w:r>
      <w:r w:rsidR="003858BB" w:rsidRPr="00ED6FE1">
        <w:rPr>
          <w:rFonts w:cs="Arial"/>
        </w:rPr>
        <w:t xml:space="preserve"> (</w:t>
      </w:r>
      <w:r w:rsidR="003858BB" w:rsidRPr="00ED6FE1">
        <w:rPr>
          <w:rFonts w:cs="Arial"/>
          <w:b/>
          <w:bCs/>
        </w:rPr>
        <w:t>Salicure</w:t>
      </w:r>
      <w:r w:rsidR="003858BB" w:rsidRPr="00ED6FE1">
        <w:rPr>
          <w:rFonts w:cs="Arial"/>
        </w:rPr>
        <w:t>)</w:t>
      </w:r>
      <w:r w:rsidR="00B21A3D" w:rsidRPr="00ED6FE1">
        <w:rPr>
          <w:rFonts w:cs="Arial"/>
        </w:rPr>
        <w:t xml:space="preserve"> (as lender), and that th</w:t>
      </w:r>
      <w:r w:rsidR="007B2A77" w:rsidRPr="00ED6FE1">
        <w:rPr>
          <w:rFonts w:cs="Arial"/>
        </w:rPr>
        <w:t>e</w:t>
      </w:r>
      <w:r w:rsidR="00B21A3D" w:rsidRPr="00ED6FE1">
        <w:rPr>
          <w:rFonts w:cs="Arial"/>
        </w:rPr>
        <w:t xml:space="preserve"> term sheet was sent to the defendant for signature by Chris Davis (copying in Van Dyk).</w:t>
      </w:r>
    </w:p>
    <w:p w14:paraId="3D2EE459" w14:textId="76623A3A" w:rsidR="007704E2" w:rsidRPr="00ED6FE1" w:rsidRDefault="00ED6FE1" w:rsidP="00ED6FE1">
      <w:pPr>
        <w:spacing w:after="300"/>
        <w:ind w:left="720" w:hanging="720"/>
        <w:rPr>
          <w:rFonts w:cs="Arial"/>
        </w:rPr>
      </w:pPr>
      <w:r>
        <w:rPr>
          <w:rFonts w:cs="Arial"/>
          <w:szCs w:val="24"/>
        </w:rPr>
        <w:t>[14]</w:t>
      </w:r>
      <w:r>
        <w:rPr>
          <w:rFonts w:cs="Arial"/>
          <w:szCs w:val="24"/>
        </w:rPr>
        <w:tab/>
      </w:r>
      <w:r w:rsidR="00401FE5" w:rsidRPr="00ED6FE1">
        <w:rPr>
          <w:rFonts w:cs="Arial"/>
        </w:rPr>
        <w:t>The plaintiff alleges finally that, in terms of clause 2.1 of the brokerage agreement, the brokerage fee is R1,153,846.16, and that he has demanded that fee from the defendant which has refused to pay it.</w:t>
      </w:r>
    </w:p>
    <w:p w14:paraId="1441E695" w14:textId="3CACD8CA" w:rsidR="00424ECB" w:rsidRPr="00424ECB" w:rsidRDefault="00401FE5" w:rsidP="00356BC7">
      <w:pPr>
        <w:pStyle w:val="Heading1"/>
        <w:rPr>
          <w:rFonts w:cs="Arial"/>
        </w:rPr>
      </w:pPr>
      <w:r>
        <w:rPr>
          <w:caps w:val="0"/>
        </w:rPr>
        <w:lastRenderedPageBreak/>
        <w:t xml:space="preserve">Relevant provisions of the </w:t>
      </w:r>
      <w:r>
        <w:t xml:space="preserve">FAIS </w:t>
      </w:r>
      <w:r>
        <w:rPr>
          <w:caps w:val="0"/>
        </w:rPr>
        <w:t>Act</w:t>
      </w:r>
    </w:p>
    <w:p w14:paraId="5F603556" w14:textId="4F392589" w:rsidR="0041717E" w:rsidRPr="00ED6FE1" w:rsidRDefault="00ED6FE1" w:rsidP="00ED6FE1">
      <w:pPr>
        <w:spacing w:after="480"/>
        <w:ind w:left="720" w:hanging="720"/>
        <w:rPr>
          <w:rFonts w:cs="Arial"/>
        </w:rPr>
      </w:pPr>
      <w:r>
        <w:rPr>
          <w:rFonts w:cs="Arial"/>
          <w:szCs w:val="24"/>
        </w:rPr>
        <w:t>[15]</w:t>
      </w:r>
      <w:r>
        <w:rPr>
          <w:rFonts w:cs="Arial"/>
          <w:szCs w:val="24"/>
        </w:rPr>
        <w:tab/>
      </w:r>
      <w:r w:rsidR="00B21A3D" w:rsidRPr="00ED6FE1">
        <w:rPr>
          <w:rFonts w:cs="Arial"/>
        </w:rPr>
        <w:t>As mentioned, the defendant has contended in its exception that Van Dyk has performed the services of a “financial services provider”</w:t>
      </w:r>
      <w:r w:rsidR="0041717E" w:rsidRPr="00ED6FE1">
        <w:rPr>
          <w:rFonts w:cs="Arial"/>
        </w:rPr>
        <w:t xml:space="preserve">, without being authorised to act as such, and </w:t>
      </w:r>
      <w:r w:rsidR="00BE6129" w:rsidRPr="00ED6FE1">
        <w:rPr>
          <w:rFonts w:cs="Arial"/>
        </w:rPr>
        <w:t xml:space="preserve">that Van Dyk has </w:t>
      </w:r>
      <w:r w:rsidR="0041717E" w:rsidRPr="00ED6FE1">
        <w:rPr>
          <w:rFonts w:cs="Arial"/>
        </w:rPr>
        <w:t xml:space="preserve">thus </w:t>
      </w:r>
      <w:r w:rsidR="00BE6129" w:rsidRPr="00ED6FE1">
        <w:rPr>
          <w:rFonts w:cs="Arial"/>
        </w:rPr>
        <w:t>contravened</w:t>
      </w:r>
      <w:r w:rsidR="0041717E" w:rsidRPr="00ED6FE1">
        <w:rPr>
          <w:rFonts w:cs="Arial"/>
        </w:rPr>
        <w:t xml:space="preserve"> section 7(1)(</w:t>
      </w:r>
      <w:r w:rsidR="0041717E" w:rsidRPr="00ED6FE1">
        <w:rPr>
          <w:rFonts w:cs="Arial"/>
          <w:i/>
          <w:iCs/>
        </w:rPr>
        <w:t>a</w:t>
      </w:r>
      <w:r w:rsidR="0041717E" w:rsidRPr="00ED6FE1">
        <w:rPr>
          <w:rFonts w:cs="Arial"/>
        </w:rPr>
        <w:t>) of the FAIS Act.</w:t>
      </w:r>
      <w:r w:rsidR="0041717E">
        <w:rPr>
          <w:rStyle w:val="FootnoteReference"/>
          <w:rFonts w:cs="Arial"/>
        </w:rPr>
        <w:footnoteReference w:id="6"/>
      </w:r>
    </w:p>
    <w:p w14:paraId="28B740A7" w14:textId="6E81AAC3" w:rsidR="00424ECB" w:rsidRPr="00ED6FE1" w:rsidRDefault="00ED6FE1" w:rsidP="00ED6FE1">
      <w:pPr>
        <w:spacing w:after="240"/>
        <w:ind w:left="720" w:hanging="720"/>
        <w:rPr>
          <w:rFonts w:cs="Arial"/>
        </w:rPr>
      </w:pPr>
      <w:r>
        <w:rPr>
          <w:rFonts w:cs="Arial"/>
          <w:szCs w:val="24"/>
        </w:rPr>
        <w:t>[16]</w:t>
      </w:r>
      <w:r>
        <w:rPr>
          <w:rFonts w:cs="Arial"/>
          <w:szCs w:val="24"/>
        </w:rPr>
        <w:tab/>
      </w:r>
      <w:r w:rsidR="0041717E" w:rsidRPr="00ED6FE1">
        <w:rPr>
          <w:rFonts w:cs="Arial"/>
        </w:rPr>
        <w:t xml:space="preserve">The </w:t>
      </w:r>
      <w:r w:rsidR="00B21A3D" w:rsidRPr="00ED6FE1">
        <w:rPr>
          <w:rFonts w:cs="Arial"/>
        </w:rPr>
        <w:t xml:space="preserve">term </w:t>
      </w:r>
      <w:r w:rsidR="0041717E" w:rsidRPr="00ED6FE1">
        <w:rPr>
          <w:rFonts w:cs="Arial"/>
        </w:rPr>
        <w:t xml:space="preserve">“financial services provider” </w:t>
      </w:r>
      <w:r w:rsidR="00B21A3D" w:rsidRPr="00ED6FE1">
        <w:rPr>
          <w:rFonts w:cs="Arial"/>
        </w:rPr>
        <w:t>is defined in section 1 of the FAIS Act as meaning:</w:t>
      </w:r>
    </w:p>
    <w:p w14:paraId="1CD8FBA8" w14:textId="6DBEE2F0" w:rsidR="00B21A3D" w:rsidRPr="00805C08" w:rsidRDefault="00805C08" w:rsidP="00B21A3D">
      <w:pPr>
        <w:pStyle w:val="ListParagraph"/>
        <w:numPr>
          <w:ilvl w:val="0"/>
          <w:numId w:val="0"/>
        </w:numPr>
        <w:spacing w:after="120" w:line="360" w:lineRule="auto"/>
        <w:ind w:left="1418"/>
        <w:rPr>
          <w:rFonts w:cs="Arial"/>
          <w:i/>
          <w:iCs/>
          <w:sz w:val="22"/>
          <w:szCs w:val="22"/>
        </w:rPr>
      </w:pPr>
      <w:r>
        <w:rPr>
          <w:rFonts w:cs="Arial"/>
          <w:i/>
          <w:iCs/>
          <w:sz w:val="22"/>
          <w:szCs w:val="22"/>
        </w:rPr>
        <w:t>‘</w:t>
      </w:r>
      <w:r w:rsidR="00B21A3D" w:rsidRPr="00805C08">
        <w:rPr>
          <w:rFonts w:cs="Arial"/>
          <w:i/>
          <w:iCs/>
          <w:sz w:val="22"/>
          <w:szCs w:val="22"/>
        </w:rPr>
        <w:t xml:space="preserve">any person, other than a representative, who as a regular feature of the business of such person – </w:t>
      </w:r>
    </w:p>
    <w:p w14:paraId="12E232FF" w14:textId="04FC4698" w:rsidR="00B21A3D" w:rsidRPr="00ED6FE1" w:rsidRDefault="00ED6FE1" w:rsidP="00ED6FE1">
      <w:pPr>
        <w:spacing w:after="120" w:line="360" w:lineRule="auto"/>
        <w:ind w:left="1418"/>
        <w:rPr>
          <w:rFonts w:cs="Arial"/>
          <w:i/>
          <w:iCs/>
          <w:sz w:val="22"/>
        </w:rPr>
      </w:pPr>
      <w:r w:rsidRPr="00805C08">
        <w:rPr>
          <w:rFonts w:cs="Arial"/>
          <w:i/>
          <w:iCs/>
          <w:sz w:val="22"/>
        </w:rPr>
        <w:t>(a)</w:t>
      </w:r>
      <w:r w:rsidRPr="00805C08">
        <w:rPr>
          <w:rFonts w:cs="Arial"/>
          <w:i/>
          <w:iCs/>
          <w:sz w:val="22"/>
        </w:rPr>
        <w:tab/>
      </w:r>
      <w:r w:rsidR="00B21A3D" w:rsidRPr="00ED6FE1">
        <w:rPr>
          <w:rFonts w:cs="Arial"/>
          <w:i/>
          <w:iCs/>
          <w:sz w:val="22"/>
        </w:rPr>
        <w:t>furnishes advice; or</w:t>
      </w:r>
    </w:p>
    <w:p w14:paraId="53673649" w14:textId="11F64B5B" w:rsidR="00B21A3D" w:rsidRPr="00ED6FE1" w:rsidRDefault="00ED6FE1" w:rsidP="00ED6FE1">
      <w:pPr>
        <w:spacing w:after="120" w:line="360" w:lineRule="auto"/>
        <w:ind w:left="1418"/>
        <w:rPr>
          <w:rFonts w:cs="Arial"/>
          <w:i/>
          <w:iCs/>
          <w:sz w:val="22"/>
        </w:rPr>
      </w:pPr>
      <w:r w:rsidRPr="00805C08">
        <w:rPr>
          <w:rFonts w:cs="Arial"/>
          <w:i/>
          <w:iCs/>
          <w:sz w:val="22"/>
        </w:rPr>
        <w:t>(b)</w:t>
      </w:r>
      <w:r w:rsidRPr="00805C08">
        <w:rPr>
          <w:rFonts w:cs="Arial"/>
          <w:i/>
          <w:iCs/>
          <w:sz w:val="22"/>
        </w:rPr>
        <w:tab/>
      </w:r>
      <w:r w:rsidR="00B21A3D" w:rsidRPr="00ED6FE1">
        <w:rPr>
          <w:rFonts w:cs="Arial"/>
          <w:i/>
          <w:iCs/>
          <w:sz w:val="22"/>
        </w:rPr>
        <w:t>furnishes advice and renders any intermediary service; or</w:t>
      </w:r>
    </w:p>
    <w:p w14:paraId="5427D187" w14:textId="07D7AB55" w:rsidR="00B21A3D" w:rsidRPr="00ED6FE1" w:rsidRDefault="00ED6FE1" w:rsidP="00ED6FE1">
      <w:pPr>
        <w:spacing w:after="480" w:line="360" w:lineRule="auto"/>
        <w:ind w:left="1418"/>
        <w:rPr>
          <w:rFonts w:cs="Arial"/>
          <w:i/>
          <w:iCs/>
          <w:sz w:val="22"/>
        </w:rPr>
      </w:pPr>
      <w:r w:rsidRPr="00805C08">
        <w:rPr>
          <w:rFonts w:cs="Arial"/>
          <w:i/>
          <w:iCs/>
          <w:sz w:val="22"/>
        </w:rPr>
        <w:t>(c)</w:t>
      </w:r>
      <w:r w:rsidRPr="00805C08">
        <w:rPr>
          <w:rFonts w:cs="Arial"/>
          <w:i/>
          <w:iCs/>
          <w:sz w:val="22"/>
        </w:rPr>
        <w:tab/>
      </w:r>
      <w:r w:rsidR="00B21A3D" w:rsidRPr="00ED6FE1">
        <w:rPr>
          <w:rFonts w:cs="Arial"/>
          <w:i/>
          <w:iCs/>
          <w:sz w:val="22"/>
        </w:rPr>
        <w:t>renders an intermediary service.</w:t>
      </w:r>
      <w:r w:rsidR="00805C08" w:rsidRPr="00ED6FE1">
        <w:rPr>
          <w:rFonts w:cs="Arial"/>
          <w:i/>
          <w:iCs/>
          <w:sz w:val="22"/>
        </w:rPr>
        <w:t>’</w:t>
      </w:r>
    </w:p>
    <w:p w14:paraId="530E4A79" w14:textId="53CF04D2" w:rsidR="00A77B3D" w:rsidRPr="00ED6FE1" w:rsidRDefault="00ED6FE1" w:rsidP="00ED6FE1">
      <w:pPr>
        <w:spacing w:after="480"/>
        <w:ind w:left="720" w:hanging="720"/>
        <w:rPr>
          <w:rFonts w:cs="Arial"/>
        </w:rPr>
      </w:pPr>
      <w:r>
        <w:rPr>
          <w:rFonts w:cs="Arial"/>
          <w:szCs w:val="24"/>
        </w:rPr>
        <w:t>[17]</w:t>
      </w:r>
      <w:r>
        <w:rPr>
          <w:rFonts w:cs="Arial"/>
          <w:szCs w:val="24"/>
        </w:rPr>
        <w:tab/>
      </w:r>
      <w:r w:rsidR="00A77B3D" w:rsidRPr="00ED6FE1">
        <w:rPr>
          <w:rFonts w:cs="Arial"/>
        </w:rPr>
        <w:t xml:space="preserve">To fall foul of the </w:t>
      </w:r>
      <w:r w:rsidR="00BE6129" w:rsidRPr="00ED6FE1">
        <w:rPr>
          <w:rFonts w:cs="Arial"/>
        </w:rPr>
        <w:t xml:space="preserve">section 7(1) </w:t>
      </w:r>
      <w:r w:rsidR="00A77B3D" w:rsidRPr="00ED6FE1">
        <w:rPr>
          <w:rFonts w:cs="Arial"/>
        </w:rPr>
        <w:t>prohibition against acting as an FSP without authorisation, Van Dyk would therefore have had to furnish advice and/or render an intermediary service to the defendant.</w:t>
      </w:r>
    </w:p>
    <w:p w14:paraId="14B40928" w14:textId="01FA9D0D" w:rsidR="00B21A3D" w:rsidRPr="00ED6FE1" w:rsidRDefault="00ED6FE1" w:rsidP="00ED6FE1">
      <w:pPr>
        <w:spacing w:after="240"/>
        <w:ind w:left="720" w:hanging="720"/>
        <w:rPr>
          <w:rFonts w:cs="Arial"/>
        </w:rPr>
      </w:pPr>
      <w:bookmarkStart w:id="2" w:name="_Ref175233828"/>
      <w:r>
        <w:rPr>
          <w:rFonts w:cs="Arial"/>
          <w:szCs w:val="24"/>
        </w:rPr>
        <w:lastRenderedPageBreak/>
        <w:t>[18]</w:t>
      </w:r>
      <w:r>
        <w:rPr>
          <w:rFonts w:cs="Arial"/>
          <w:szCs w:val="24"/>
        </w:rPr>
        <w:tab/>
      </w:r>
      <w:r w:rsidR="00F15F46" w:rsidRPr="00ED6FE1">
        <w:rPr>
          <w:rFonts w:cs="Arial"/>
        </w:rPr>
        <w:t>The word “advice” is defined in section 1 of the FAIS Act as meaning:</w:t>
      </w:r>
      <w:bookmarkEnd w:id="2"/>
    </w:p>
    <w:p w14:paraId="22483BAF" w14:textId="08F69256" w:rsidR="00CB178C" w:rsidRPr="00B6754E" w:rsidRDefault="00B6754E" w:rsidP="00CB178C">
      <w:pPr>
        <w:pStyle w:val="ListParagraph"/>
        <w:numPr>
          <w:ilvl w:val="0"/>
          <w:numId w:val="0"/>
        </w:numPr>
        <w:spacing w:after="120" w:line="360" w:lineRule="auto"/>
        <w:ind w:left="1418"/>
        <w:rPr>
          <w:rFonts w:cs="Arial"/>
          <w:i/>
          <w:iCs/>
          <w:sz w:val="22"/>
          <w:szCs w:val="22"/>
        </w:rPr>
      </w:pPr>
      <w:r>
        <w:rPr>
          <w:rFonts w:cs="Arial"/>
          <w:i/>
          <w:iCs/>
          <w:sz w:val="22"/>
          <w:szCs w:val="22"/>
        </w:rPr>
        <w:t>‘</w:t>
      </w:r>
      <w:r w:rsidR="00CB178C" w:rsidRPr="00B6754E">
        <w:rPr>
          <w:rFonts w:cs="Arial"/>
          <w:i/>
          <w:iCs/>
          <w:sz w:val="22"/>
          <w:szCs w:val="22"/>
        </w:rPr>
        <w:t>subject to subsection (3) (a),</w:t>
      </w:r>
      <w:bookmarkStart w:id="3" w:name="_Ref175235370"/>
      <w:r w:rsidR="00CE0C08" w:rsidRPr="00B6754E">
        <w:rPr>
          <w:rStyle w:val="FootnoteReference"/>
          <w:rFonts w:cs="Arial"/>
          <w:i/>
          <w:iCs/>
          <w:sz w:val="22"/>
          <w:szCs w:val="22"/>
        </w:rPr>
        <w:footnoteReference w:id="7"/>
      </w:r>
      <w:bookmarkEnd w:id="3"/>
      <w:r w:rsidR="00CB178C" w:rsidRPr="00B6754E">
        <w:rPr>
          <w:rFonts w:cs="Arial"/>
          <w:i/>
          <w:iCs/>
          <w:sz w:val="22"/>
          <w:szCs w:val="22"/>
        </w:rPr>
        <w:t xml:space="preserve"> any recommendation, guidance or proposal of a financial nature furnished, by any means or medium, to any client or group of clients-</w:t>
      </w:r>
    </w:p>
    <w:p w14:paraId="48266FD5" w14:textId="024D0902" w:rsidR="00CB178C" w:rsidRPr="00B6754E" w:rsidRDefault="00CB178C" w:rsidP="00CB178C">
      <w:pPr>
        <w:pStyle w:val="ListParagraph"/>
        <w:numPr>
          <w:ilvl w:val="0"/>
          <w:numId w:val="0"/>
        </w:numPr>
        <w:spacing w:after="120" w:line="360" w:lineRule="auto"/>
        <w:ind w:left="1418"/>
        <w:rPr>
          <w:rFonts w:cs="Arial"/>
          <w:i/>
          <w:iCs/>
          <w:sz w:val="22"/>
          <w:szCs w:val="22"/>
        </w:rPr>
      </w:pPr>
      <w:r w:rsidRPr="00B6754E">
        <w:rPr>
          <w:rFonts w:cs="Arial"/>
          <w:i/>
          <w:iCs/>
          <w:sz w:val="22"/>
          <w:szCs w:val="22"/>
        </w:rPr>
        <w:t>(a)</w:t>
      </w:r>
      <w:r w:rsidRPr="00B6754E">
        <w:rPr>
          <w:rFonts w:cs="Arial"/>
          <w:i/>
          <w:iCs/>
          <w:sz w:val="22"/>
          <w:szCs w:val="22"/>
        </w:rPr>
        <w:tab/>
        <w:t>in respect of the purchase of any financial product; or</w:t>
      </w:r>
    </w:p>
    <w:p w14:paraId="059D0E42" w14:textId="605F4A5F" w:rsidR="00CB178C" w:rsidRPr="00B6754E" w:rsidRDefault="00CB178C" w:rsidP="00CB178C">
      <w:pPr>
        <w:pStyle w:val="ListParagraph"/>
        <w:numPr>
          <w:ilvl w:val="0"/>
          <w:numId w:val="0"/>
        </w:numPr>
        <w:spacing w:after="120" w:line="360" w:lineRule="auto"/>
        <w:ind w:left="1418"/>
        <w:rPr>
          <w:rFonts w:cs="Arial"/>
          <w:i/>
          <w:iCs/>
          <w:sz w:val="22"/>
          <w:szCs w:val="22"/>
        </w:rPr>
      </w:pPr>
      <w:r w:rsidRPr="00B6754E">
        <w:rPr>
          <w:rFonts w:cs="Arial"/>
          <w:i/>
          <w:iCs/>
          <w:sz w:val="22"/>
          <w:szCs w:val="22"/>
        </w:rPr>
        <w:t>(b)</w:t>
      </w:r>
      <w:r w:rsidRPr="00B6754E">
        <w:rPr>
          <w:rFonts w:cs="Arial"/>
          <w:i/>
          <w:iCs/>
          <w:sz w:val="22"/>
          <w:szCs w:val="22"/>
        </w:rPr>
        <w:tab/>
        <w:t>in respect of the investment in any financial product; or</w:t>
      </w:r>
    </w:p>
    <w:p w14:paraId="75389F37" w14:textId="30D6DF0E" w:rsidR="00CB178C" w:rsidRPr="00B6754E" w:rsidRDefault="00CB178C" w:rsidP="00CB178C">
      <w:pPr>
        <w:pStyle w:val="ListParagraph"/>
        <w:numPr>
          <w:ilvl w:val="0"/>
          <w:numId w:val="0"/>
        </w:numPr>
        <w:spacing w:after="120" w:line="360" w:lineRule="auto"/>
        <w:ind w:left="2160" w:hanging="742"/>
        <w:rPr>
          <w:rFonts w:cs="Arial"/>
          <w:i/>
          <w:iCs/>
          <w:sz w:val="22"/>
          <w:szCs w:val="22"/>
        </w:rPr>
      </w:pPr>
      <w:r w:rsidRPr="00B6754E">
        <w:rPr>
          <w:rFonts w:cs="Arial"/>
          <w:i/>
          <w:iCs/>
          <w:sz w:val="22"/>
          <w:szCs w:val="22"/>
        </w:rPr>
        <w:t>(c)</w:t>
      </w:r>
      <w:r w:rsidRPr="00B6754E">
        <w:rPr>
          <w:rFonts w:cs="Arial"/>
          <w:i/>
          <w:iCs/>
          <w:sz w:val="22"/>
          <w:szCs w:val="22"/>
        </w:rPr>
        <w:tab/>
        <w:t>on the conclusion of any other transaction, including a loan or cession, aimed at the incurring of any liability or the acquisition of any right or benefit in respect of any financial product; or</w:t>
      </w:r>
    </w:p>
    <w:p w14:paraId="1840E563" w14:textId="3E37EB5C" w:rsidR="00CB178C" w:rsidRPr="00B6754E" w:rsidRDefault="00CB178C" w:rsidP="00CB178C">
      <w:pPr>
        <w:pStyle w:val="ListParagraph"/>
        <w:numPr>
          <w:ilvl w:val="0"/>
          <w:numId w:val="0"/>
        </w:numPr>
        <w:spacing w:after="120" w:line="360" w:lineRule="auto"/>
        <w:ind w:left="2160" w:hanging="742"/>
        <w:rPr>
          <w:rFonts w:cs="Arial"/>
          <w:i/>
          <w:iCs/>
          <w:sz w:val="22"/>
          <w:szCs w:val="22"/>
        </w:rPr>
      </w:pPr>
      <w:r w:rsidRPr="00B6754E">
        <w:rPr>
          <w:rFonts w:cs="Arial"/>
          <w:i/>
          <w:iCs/>
          <w:sz w:val="22"/>
          <w:szCs w:val="22"/>
        </w:rPr>
        <w:t>(d)</w:t>
      </w:r>
      <w:r w:rsidRPr="00B6754E">
        <w:rPr>
          <w:rFonts w:cs="Arial"/>
          <w:i/>
          <w:iCs/>
          <w:sz w:val="22"/>
          <w:szCs w:val="22"/>
        </w:rPr>
        <w:tab/>
        <w:t>on the variation of any term or condition applying to a financial product, on the replacement of any such product, or on the termination of any purchase of or investment in any such product,</w:t>
      </w:r>
    </w:p>
    <w:p w14:paraId="0CACC9BB" w14:textId="77777777" w:rsidR="00CB178C" w:rsidRPr="00B6754E" w:rsidRDefault="00CB178C" w:rsidP="00CB178C">
      <w:pPr>
        <w:pStyle w:val="ListParagraph"/>
        <w:numPr>
          <w:ilvl w:val="0"/>
          <w:numId w:val="0"/>
        </w:numPr>
        <w:spacing w:after="120" w:line="360" w:lineRule="auto"/>
        <w:ind w:left="1418"/>
        <w:rPr>
          <w:rFonts w:cs="Arial"/>
          <w:i/>
          <w:iCs/>
          <w:sz w:val="22"/>
          <w:szCs w:val="22"/>
        </w:rPr>
      </w:pPr>
      <w:r w:rsidRPr="00B6754E">
        <w:rPr>
          <w:rFonts w:cs="Arial"/>
          <w:i/>
          <w:iCs/>
          <w:sz w:val="22"/>
          <w:szCs w:val="22"/>
        </w:rPr>
        <w:t>and irrespective of whether or not such advice-</w:t>
      </w:r>
    </w:p>
    <w:p w14:paraId="5BC3B857" w14:textId="5301C7AE" w:rsidR="00CB178C" w:rsidRPr="00B6754E" w:rsidRDefault="00CB178C" w:rsidP="00CB178C">
      <w:pPr>
        <w:pStyle w:val="ListParagraph"/>
        <w:numPr>
          <w:ilvl w:val="0"/>
          <w:numId w:val="0"/>
        </w:numPr>
        <w:spacing w:after="120" w:line="360" w:lineRule="auto"/>
        <w:ind w:left="2410" w:hanging="567"/>
        <w:rPr>
          <w:rFonts w:cs="Arial"/>
          <w:i/>
          <w:iCs/>
          <w:sz w:val="22"/>
          <w:szCs w:val="22"/>
        </w:rPr>
      </w:pPr>
      <w:r w:rsidRPr="00B6754E">
        <w:rPr>
          <w:rFonts w:cs="Arial"/>
          <w:i/>
          <w:iCs/>
          <w:sz w:val="22"/>
          <w:szCs w:val="22"/>
        </w:rPr>
        <w:t>(i)</w:t>
      </w:r>
      <w:r w:rsidRPr="00B6754E">
        <w:rPr>
          <w:rFonts w:cs="Arial"/>
          <w:i/>
          <w:iCs/>
          <w:sz w:val="22"/>
          <w:szCs w:val="22"/>
        </w:rPr>
        <w:tab/>
        <w:t>is furnished in the course of or incidental to financial planning in connection with the affairs of the client; or</w:t>
      </w:r>
    </w:p>
    <w:p w14:paraId="2319DE86" w14:textId="02AA3E10" w:rsidR="00F15F46" w:rsidRPr="00B6754E" w:rsidRDefault="00CB178C" w:rsidP="00CB178C">
      <w:pPr>
        <w:pStyle w:val="ListParagraph"/>
        <w:numPr>
          <w:ilvl w:val="0"/>
          <w:numId w:val="0"/>
        </w:numPr>
        <w:spacing w:after="480" w:line="360" w:lineRule="auto"/>
        <w:ind w:left="2410" w:hanging="567"/>
        <w:rPr>
          <w:rFonts w:cs="Arial"/>
          <w:i/>
          <w:iCs/>
          <w:sz w:val="22"/>
          <w:szCs w:val="22"/>
        </w:rPr>
      </w:pPr>
      <w:r w:rsidRPr="00B6754E">
        <w:rPr>
          <w:rFonts w:cs="Arial"/>
          <w:i/>
          <w:iCs/>
          <w:sz w:val="22"/>
          <w:szCs w:val="22"/>
        </w:rPr>
        <w:lastRenderedPageBreak/>
        <w:t>(ii)</w:t>
      </w:r>
      <w:r w:rsidRPr="00B6754E">
        <w:rPr>
          <w:rFonts w:cs="Arial"/>
          <w:i/>
          <w:iCs/>
          <w:sz w:val="22"/>
          <w:szCs w:val="22"/>
        </w:rPr>
        <w:tab/>
        <w:t>results in any such purchase, investment, transaction, variation, replacement or termination, as the case may be, being effected</w:t>
      </w:r>
      <w:r w:rsidR="00B6754E">
        <w:rPr>
          <w:rFonts w:cs="Arial"/>
          <w:i/>
          <w:iCs/>
          <w:sz w:val="22"/>
          <w:szCs w:val="22"/>
        </w:rPr>
        <w:t>.’</w:t>
      </w:r>
    </w:p>
    <w:p w14:paraId="3519E8B0" w14:textId="16BDEB51" w:rsidR="00F15F46" w:rsidRPr="00ED6FE1" w:rsidRDefault="00ED6FE1" w:rsidP="00ED6FE1">
      <w:pPr>
        <w:spacing w:after="240"/>
        <w:ind w:left="720" w:hanging="720"/>
        <w:rPr>
          <w:rFonts w:cs="Arial"/>
        </w:rPr>
      </w:pPr>
      <w:bookmarkStart w:id="4" w:name="_Ref175307993"/>
      <w:r>
        <w:rPr>
          <w:rFonts w:cs="Arial"/>
          <w:szCs w:val="24"/>
        </w:rPr>
        <w:t>[19]</w:t>
      </w:r>
      <w:r>
        <w:rPr>
          <w:rFonts w:cs="Arial"/>
          <w:szCs w:val="24"/>
        </w:rPr>
        <w:tab/>
      </w:r>
      <w:r w:rsidR="00F15F46" w:rsidRPr="00ED6FE1">
        <w:rPr>
          <w:rFonts w:cs="Arial"/>
        </w:rPr>
        <w:t>The term “intermediary service” is defined as meaning:</w:t>
      </w:r>
      <w:bookmarkEnd w:id="4"/>
    </w:p>
    <w:p w14:paraId="46C2606E" w14:textId="1D5DD0EF" w:rsidR="00CB178C" w:rsidRPr="005F5C8A" w:rsidRDefault="005F5C8A" w:rsidP="00825814">
      <w:pPr>
        <w:pStyle w:val="ListParagraph"/>
        <w:numPr>
          <w:ilvl w:val="0"/>
          <w:numId w:val="0"/>
        </w:numPr>
        <w:spacing w:after="120" w:line="360" w:lineRule="auto"/>
        <w:ind w:left="1418"/>
        <w:rPr>
          <w:rFonts w:cs="Arial"/>
          <w:i/>
          <w:iCs/>
          <w:sz w:val="22"/>
          <w:szCs w:val="22"/>
        </w:rPr>
      </w:pPr>
      <w:r w:rsidRPr="005F5C8A">
        <w:rPr>
          <w:rFonts w:cs="Arial"/>
          <w:i/>
          <w:iCs/>
          <w:sz w:val="22"/>
          <w:szCs w:val="22"/>
        </w:rPr>
        <w:t>‘</w:t>
      </w:r>
      <w:r w:rsidR="00CB178C" w:rsidRPr="005F5C8A">
        <w:rPr>
          <w:rFonts w:cs="Arial"/>
          <w:i/>
          <w:iCs/>
          <w:sz w:val="22"/>
          <w:szCs w:val="22"/>
        </w:rPr>
        <w:t>subject to subsection (3) (b),</w:t>
      </w:r>
      <w:r w:rsidR="00A77B3D" w:rsidRPr="005F5C8A">
        <w:rPr>
          <w:rStyle w:val="FootnoteReference"/>
          <w:rFonts w:cs="Arial"/>
          <w:i/>
          <w:iCs/>
          <w:sz w:val="22"/>
          <w:szCs w:val="22"/>
        </w:rPr>
        <w:footnoteReference w:id="8"/>
      </w:r>
      <w:r w:rsidR="00CB178C" w:rsidRPr="005F5C8A">
        <w:rPr>
          <w:rFonts w:cs="Arial"/>
          <w:i/>
          <w:iCs/>
          <w:sz w:val="22"/>
          <w:szCs w:val="22"/>
        </w:rPr>
        <w:t xml:space="preserve"> any act other than the furnishing of advice, performed by a person for or on behalf of a client or product supplier-</w:t>
      </w:r>
    </w:p>
    <w:p w14:paraId="29FA247E" w14:textId="1C3247D9" w:rsidR="00CB178C" w:rsidRPr="005F5C8A" w:rsidRDefault="00CB178C" w:rsidP="00CB178C">
      <w:pPr>
        <w:pStyle w:val="ListParagraph"/>
        <w:numPr>
          <w:ilvl w:val="0"/>
          <w:numId w:val="0"/>
        </w:numPr>
        <w:spacing w:after="120" w:line="360" w:lineRule="auto"/>
        <w:ind w:left="2160" w:hanging="719"/>
        <w:rPr>
          <w:rFonts w:cs="Arial"/>
          <w:i/>
          <w:iCs/>
          <w:sz w:val="22"/>
          <w:szCs w:val="22"/>
        </w:rPr>
      </w:pPr>
      <w:r w:rsidRPr="005F5C8A">
        <w:rPr>
          <w:rFonts w:cs="Arial"/>
          <w:i/>
          <w:iCs/>
          <w:sz w:val="22"/>
          <w:szCs w:val="22"/>
        </w:rPr>
        <w:t>(a)</w:t>
      </w:r>
      <w:r w:rsidRPr="005F5C8A">
        <w:rPr>
          <w:rFonts w:cs="Arial"/>
          <w:i/>
          <w:iCs/>
          <w:sz w:val="22"/>
          <w:szCs w:val="22"/>
        </w:rPr>
        <w:tab/>
        <w:t>the result of which is that a client may enter into, offers to enter into or enters into any transaction in respect of a financial product with a product supplier; or</w:t>
      </w:r>
    </w:p>
    <w:p w14:paraId="7C56C904" w14:textId="77777777" w:rsidR="00CB178C" w:rsidRPr="005F5C8A" w:rsidRDefault="00CB178C" w:rsidP="00CB178C">
      <w:pPr>
        <w:pStyle w:val="ListParagraph"/>
        <w:numPr>
          <w:ilvl w:val="0"/>
          <w:numId w:val="0"/>
        </w:numPr>
        <w:spacing w:after="120" w:line="360" w:lineRule="auto"/>
        <w:ind w:left="1418"/>
        <w:rPr>
          <w:rFonts w:cs="Arial"/>
          <w:i/>
          <w:iCs/>
          <w:sz w:val="22"/>
          <w:szCs w:val="22"/>
        </w:rPr>
      </w:pPr>
      <w:r w:rsidRPr="005F5C8A">
        <w:rPr>
          <w:rFonts w:cs="Arial"/>
          <w:i/>
          <w:iCs/>
          <w:sz w:val="22"/>
          <w:szCs w:val="22"/>
        </w:rPr>
        <w:tab/>
        <w:t>(b)</w:t>
      </w:r>
      <w:r w:rsidRPr="005F5C8A">
        <w:rPr>
          <w:rFonts w:cs="Arial"/>
          <w:i/>
          <w:iCs/>
          <w:sz w:val="22"/>
          <w:szCs w:val="22"/>
        </w:rPr>
        <w:tab/>
        <w:t>with a view to-</w:t>
      </w:r>
    </w:p>
    <w:p w14:paraId="286A9717" w14:textId="47761799" w:rsidR="00CB178C" w:rsidRPr="005F5C8A" w:rsidRDefault="00CB178C" w:rsidP="00CB178C">
      <w:pPr>
        <w:pStyle w:val="ListParagraph"/>
        <w:numPr>
          <w:ilvl w:val="0"/>
          <w:numId w:val="0"/>
        </w:numPr>
        <w:spacing w:after="120" w:line="360" w:lineRule="auto"/>
        <w:ind w:left="2552" w:hanging="425"/>
        <w:rPr>
          <w:rFonts w:cs="Arial"/>
          <w:i/>
          <w:iCs/>
          <w:sz w:val="22"/>
          <w:szCs w:val="22"/>
        </w:rPr>
      </w:pPr>
      <w:r w:rsidRPr="005F5C8A">
        <w:rPr>
          <w:rFonts w:cs="Arial"/>
          <w:i/>
          <w:iCs/>
          <w:sz w:val="22"/>
          <w:szCs w:val="22"/>
        </w:rPr>
        <w:t>(i)</w:t>
      </w:r>
      <w:r w:rsidRPr="005F5C8A">
        <w:rPr>
          <w:rFonts w:cs="Arial"/>
          <w:i/>
          <w:iCs/>
          <w:sz w:val="22"/>
          <w:szCs w:val="22"/>
        </w:rPr>
        <w:tab/>
        <w:t>buying, selling or otherwise dealing in (whether on a discretionary or non-discretionary basis), managing, administering, keeping in safe custody, maintaining or servicing a financial product purchased by a client from a product supplier or in which the client has invested;</w:t>
      </w:r>
    </w:p>
    <w:p w14:paraId="1C3311EB" w14:textId="3AA4178B" w:rsidR="00CB178C" w:rsidRPr="005F5C8A" w:rsidRDefault="00CB178C" w:rsidP="00CB178C">
      <w:pPr>
        <w:pStyle w:val="ListParagraph"/>
        <w:numPr>
          <w:ilvl w:val="0"/>
          <w:numId w:val="0"/>
        </w:numPr>
        <w:spacing w:after="120" w:line="360" w:lineRule="auto"/>
        <w:ind w:left="2552" w:hanging="425"/>
        <w:rPr>
          <w:rFonts w:cs="Arial"/>
          <w:i/>
          <w:iCs/>
          <w:sz w:val="22"/>
          <w:szCs w:val="22"/>
        </w:rPr>
      </w:pPr>
      <w:r w:rsidRPr="005F5C8A">
        <w:rPr>
          <w:rFonts w:cs="Arial"/>
          <w:i/>
          <w:iCs/>
          <w:sz w:val="22"/>
          <w:szCs w:val="22"/>
        </w:rPr>
        <w:t>(ii)</w:t>
      </w:r>
      <w:r w:rsidRPr="005F5C8A">
        <w:rPr>
          <w:rFonts w:cs="Arial"/>
          <w:i/>
          <w:iCs/>
          <w:sz w:val="22"/>
          <w:szCs w:val="22"/>
        </w:rPr>
        <w:tab/>
        <w:t>collecting or accounting for premiums or other moneys payable by the client to a product supplier in respect of a financial product; or</w:t>
      </w:r>
    </w:p>
    <w:p w14:paraId="572D5321" w14:textId="3001317E" w:rsidR="00F15F46" w:rsidRPr="005F5C8A" w:rsidRDefault="00CB178C" w:rsidP="00CB178C">
      <w:pPr>
        <w:pStyle w:val="ListParagraph"/>
        <w:numPr>
          <w:ilvl w:val="0"/>
          <w:numId w:val="0"/>
        </w:numPr>
        <w:spacing w:after="480" w:line="360" w:lineRule="auto"/>
        <w:ind w:left="2551" w:hanging="425"/>
        <w:rPr>
          <w:rFonts w:cs="Arial"/>
          <w:i/>
          <w:iCs/>
          <w:sz w:val="22"/>
          <w:szCs w:val="22"/>
        </w:rPr>
      </w:pPr>
      <w:r w:rsidRPr="005F5C8A">
        <w:rPr>
          <w:rFonts w:cs="Arial"/>
          <w:i/>
          <w:iCs/>
          <w:sz w:val="22"/>
          <w:szCs w:val="22"/>
        </w:rPr>
        <w:t>(iii)</w:t>
      </w:r>
      <w:r w:rsidRPr="005F5C8A">
        <w:rPr>
          <w:rFonts w:cs="Arial"/>
          <w:i/>
          <w:iCs/>
          <w:sz w:val="22"/>
          <w:szCs w:val="22"/>
        </w:rPr>
        <w:tab/>
        <w:t>receiving, submitting or processing the claims of a client against a product supplier</w:t>
      </w:r>
      <w:r w:rsidR="005F5C8A" w:rsidRPr="005F5C8A">
        <w:rPr>
          <w:rFonts w:cs="Arial"/>
          <w:i/>
          <w:iCs/>
          <w:sz w:val="22"/>
          <w:szCs w:val="22"/>
        </w:rPr>
        <w:t>.’</w:t>
      </w:r>
    </w:p>
    <w:p w14:paraId="0CD1469B" w14:textId="00B81FC1" w:rsidR="005330AA" w:rsidRPr="00ED6FE1" w:rsidRDefault="00ED6FE1" w:rsidP="00ED6FE1">
      <w:pPr>
        <w:spacing w:after="240"/>
        <w:ind w:left="720" w:hanging="720"/>
        <w:rPr>
          <w:rFonts w:cs="Arial"/>
        </w:rPr>
      </w:pPr>
      <w:bookmarkStart w:id="5" w:name="_Ref175233090"/>
      <w:r>
        <w:rPr>
          <w:rFonts w:cs="Arial"/>
          <w:szCs w:val="24"/>
        </w:rPr>
        <w:t>[20]</w:t>
      </w:r>
      <w:r>
        <w:rPr>
          <w:rFonts w:cs="Arial"/>
          <w:szCs w:val="24"/>
        </w:rPr>
        <w:tab/>
      </w:r>
      <w:r w:rsidR="005330AA" w:rsidRPr="00ED6FE1">
        <w:rPr>
          <w:rFonts w:cs="Arial"/>
        </w:rPr>
        <w:t xml:space="preserve">As is apparent from those definitions, the advice or other services which a person cannot provide without being an authorised FSP </w:t>
      </w:r>
      <w:r w:rsidR="00BE6129" w:rsidRPr="00ED6FE1">
        <w:rPr>
          <w:rFonts w:cs="Arial"/>
        </w:rPr>
        <w:t>must</w:t>
      </w:r>
      <w:r w:rsidR="005330AA" w:rsidRPr="00ED6FE1">
        <w:rPr>
          <w:rFonts w:cs="Arial"/>
        </w:rPr>
        <w:t xml:space="preserve"> pertain to a </w:t>
      </w:r>
      <w:r w:rsidR="005330AA" w:rsidRPr="00ED6FE1">
        <w:rPr>
          <w:rFonts w:cs="Arial"/>
        </w:rPr>
        <w:lastRenderedPageBreak/>
        <w:t>“financial product”</w:t>
      </w:r>
      <w:r w:rsidR="00825814" w:rsidRPr="00ED6FE1">
        <w:rPr>
          <w:rFonts w:cs="Arial"/>
        </w:rPr>
        <w:t xml:space="preserve">. It is therefore </w:t>
      </w:r>
      <w:r w:rsidR="007B2A77" w:rsidRPr="00ED6FE1">
        <w:rPr>
          <w:rFonts w:cs="Arial"/>
        </w:rPr>
        <w:t xml:space="preserve">also </w:t>
      </w:r>
      <w:r w:rsidR="00825814" w:rsidRPr="00ED6FE1">
        <w:rPr>
          <w:rFonts w:cs="Arial"/>
        </w:rPr>
        <w:t xml:space="preserve">necessary to </w:t>
      </w:r>
      <w:r w:rsidR="0041717E" w:rsidRPr="00ED6FE1">
        <w:rPr>
          <w:rFonts w:cs="Arial"/>
        </w:rPr>
        <w:t>refer to</w:t>
      </w:r>
      <w:r w:rsidR="00825814" w:rsidRPr="00ED6FE1">
        <w:rPr>
          <w:rFonts w:cs="Arial"/>
        </w:rPr>
        <w:t xml:space="preserve"> the definition of that term </w:t>
      </w:r>
      <w:r w:rsidR="005330AA" w:rsidRPr="00ED6FE1">
        <w:rPr>
          <w:rFonts w:cs="Arial"/>
        </w:rPr>
        <w:t>in section 1 of the FAIS Act</w:t>
      </w:r>
      <w:r w:rsidR="00825814" w:rsidRPr="00ED6FE1">
        <w:rPr>
          <w:rFonts w:cs="Arial"/>
        </w:rPr>
        <w:t xml:space="preserve">, where it is defined </w:t>
      </w:r>
      <w:r w:rsidR="005330AA" w:rsidRPr="00ED6FE1">
        <w:rPr>
          <w:rFonts w:cs="Arial"/>
        </w:rPr>
        <w:t xml:space="preserve">as </w:t>
      </w:r>
      <w:r w:rsidR="00614619" w:rsidRPr="00ED6FE1">
        <w:rPr>
          <w:rFonts w:cs="Arial"/>
        </w:rPr>
        <w:t>follows</w:t>
      </w:r>
      <w:r w:rsidR="005330AA" w:rsidRPr="00ED6FE1">
        <w:rPr>
          <w:rFonts w:cs="Arial"/>
        </w:rPr>
        <w:t>:</w:t>
      </w:r>
      <w:bookmarkEnd w:id="5"/>
    </w:p>
    <w:p w14:paraId="72297B09" w14:textId="77777777" w:rsidR="005F5C8A" w:rsidRDefault="005F5C8A" w:rsidP="005F5C8A">
      <w:pPr>
        <w:pStyle w:val="ListParagraph"/>
        <w:numPr>
          <w:ilvl w:val="0"/>
          <w:numId w:val="0"/>
        </w:numPr>
        <w:spacing w:after="240"/>
        <w:ind w:left="720"/>
        <w:rPr>
          <w:rFonts w:cs="Arial"/>
        </w:rPr>
      </w:pPr>
    </w:p>
    <w:p w14:paraId="723B2D69" w14:textId="156EB270" w:rsidR="005330AA" w:rsidRPr="001957DA" w:rsidRDefault="001957DA" w:rsidP="00CE0C08">
      <w:pPr>
        <w:pStyle w:val="ListParagraph"/>
        <w:numPr>
          <w:ilvl w:val="0"/>
          <w:numId w:val="0"/>
        </w:numPr>
        <w:spacing w:after="120" w:line="360" w:lineRule="auto"/>
        <w:ind w:left="1985" w:hanging="567"/>
        <w:rPr>
          <w:rFonts w:cs="Arial"/>
          <w:i/>
          <w:iCs/>
          <w:sz w:val="22"/>
          <w:szCs w:val="22"/>
        </w:rPr>
      </w:pPr>
      <w:r w:rsidRPr="001957DA">
        <w:rPr>
          <w:rFonts w:cs="Arial"/>
          <w:i/>
          <w:iCs/>
          <w:sz w:val="22"/>
          <w:szCs w:val="22"/>
        </w:rPr>
        <w:t>‘ “</w:t>
      </w:r>
      <w:r w:rsidR="00614619" w:rsidRPr="001957DA">
        <w:rPr>
          <w:rFonts w:cs="Arial"/>
          <w:b/>
          <w:bCs/>
          <w:i/>
          <w:iCs/>
          <w:sz w:val="22"/>
          <w:szCs w:val="22"/>
        </w:rPr>
        <w:t>financial product</w:t>
      </w:r>
      <w:r w:rsidRPr="001957DA">
        <w:rPr>
          <w:rFonts w:cs="Arial"/>
          <w:i/>
          <w:iCs/>
          <w:sz w:val="22"/>
          <w:szCs w:val="22"/>
        </w:rPr>
        <w:t>”</w:t>
      </w:r>
      <w:r w:rsidR="00614619" w:rsidRPr="001957DA">
        <w:rPr>
          <w:rFonts w:cs="Arial"/>
          <w:i/>
          <w:iCs/>
          <w:sz w:val="22"/>
          <w:szCs w:val="22"/>
        </w:rPr>
        <w:t xml:space="preserve"> means, </w:t>
      </w:r>
      <w:r w:rsidR="005330AA" w:rsidRPr="001957DA">
        <w:rPr>
          <w:rFonts w:cs="Arial"/>
          <w:i/>
          <w:iCs/>
          <w:sz w:val="22"/>
          <w:szCs w:val="22"/>
        </w:rPr>
        <w:t>subject to subsection (2)-</w:t>
      </w:r>
    </w:p>
    <w:p w14:paraId="634A17E4" w14:textId="23AF0A2C" w:rsidR="005330AA" w:rsidRPr="001957DA" w:rsidRDefault="00614619" w:rsidP="00CE0C08">
      <w:pPr>
        <w:pStyle w:val="ListParagraph"/>
        <w:numPr>
          <w:ilvl w:val="0"/>
          <w:numId w:val="0"/>
        </w:numPr>
        <w:spacing w:after="120" w:line="360" w:lineRule="auto"/>
        <w:ind w:left="1985" w:hanging="567"/>
        <w:rPr>
          <w:rFonts w:cs="Arial"/>
          <w:i/>
          <w:iCs/>
          <w:sz w:val="22"/>
          <w:szCs w:val="22"/>
        </w:rPr>
      </w:pPr>
      <w:r w:rsidRPr="001957DA">
        <w:rPr>
          <w:rFonts w:cs="Arial"/>
          <w:i/>
          <w:iCs/>
          <w:sz w:val="22"/>
          <w:szCs w:val="22"/>
        </w:rPr>
        <w:t xml:space="preserve"> </w:t>
      </w:r>
      <w:r w:rsidR="005330AA" w:rsidRPr="001957DA">
        <w:rPr>
          <w:rFonts w:cs="Arial"/>
          <w:i/>
          <w:iCs/>
          <w:sz w:val="22"/>
          <w:szCs w:val="22"/>
        </w:rPr>
        <w:t>(a)</w:t>
      </w:r>
      <w:r w:rsidR="005330AA" w:rsidRPr="001957DA">
        <w:rPr>
          <w:rFonts w:cs="Arial"/>
          <w:i/>
          <w:iCs/>
          <w:sz w:val="22"/>
          <w:szCs w:val="22"/>
        </w:rPr>
        <w:tab/>
        <w:t>securities and instruments, including-</w:t>
      </w:r>
    </w:p>
    <w:p w14:paraId="2C8384AF" w14:textId="13C2B619" w:rsidR="005330AA" w:rsidRPr="001957DA" w:rsidRDefault="005330AA" w:rsidP="00A77B3D">
      <w:pPr>
        <w:pStyle w:val="ListParagraph"/>
        <w:numPr>
          <w:ilvl w:val="0"/>
          <w:numId w:val="0"/>
        </w:numPr>
        <w:spacing w:after="120" w:line="360" w:lineRule="auto"/>
        <w:ind w:left="2410" w:hanging="425"/>
        <w:rPr>
          <w:rFonts w:cs="Arial"/>
          <w:i/>
          <w:iCs/>
          <w:sz w:val="22"/>
          <w:szCs w:val="22"/>
        </w:rPr>
      </w:pPr>
      <w:r w:rsidRPr="001957DA">
        <w:rPr>
          <w:rFonts w:cs="Arial"/>
          <w:i/>
          <w:iCs/>
          <w:sz w:val="22"/>
          <w:szCs w:val="22"/>
        </w:rPr>
        <w:t>(i)</w:t>
      </w:r>
      <w:r w:rsidRPr="001957DA">
        <w:rPr>
          <w:rFonts w:cs="Arial"/>
          <w:i/>
          <w:iCs/>
          <w:sz w:val="22"/>
          <w:szCs w:val="22"/>
        </w:rPr>
        <w:tab/>
        <w:t>shares in a company other than a 'share block company' as defined in the Share Blocks Control Act, 1980 (Act 59 of 1980);</w:t>
      </w:r>
    </w:p>
    <w:p w14:paraId="4C85F4E8" w14:textId="55CF7B86" w:rsidR="005330AA" w:rsidRPr="001957DA" w:rsidRDefault="005330AA" w:rsidP="00A77B3D">
      <w:pPr>
        <w:pStyle w:val="ListParagraph"/>
        <w:numPr>
          <w:ilvl w:val="0"/>
          <w:numId w:val="0"/>
        </w:numPr>
        <w:spacing w:after="120" w:line="360" w:lineRule="auto"/>
        <w:ind w:left="2410" w:hanging="425"/>
        <w:rPr>
          <w:rFonts w:cs="Arial"/>
          <w:i/>
          <w:iCs/>
          <w:sz w:val="22"/>
          <w:szCs w:val="22"/>
        </w:rPr>
      </w:pPr>
      <w:r w:rsidRPr="001957DA">
        <w:rPr>
          <w:rFonts w:cs="Arial"/>
          <w:i/>
          <w:iCs/>
          <w:sz w:val="22"/>
          <w:szCs w:val="22"/>
        </w:rPr>
        <w:t>(ii)</w:t>
      </w:r>
      <w:r w:rsidRPr="001957DA">
        <w:rPr>
          <w:rFonts w:cs="Arial"/>
          <w:i/>
          <w:iCs/>
          <w:sz w:val="22"/>
          <w:szCs w:val="22"/>
        </w:rPr>
        <w:tab/>
        <w:t>debentures and securitised debt;</w:t>
      </w:r>
    </w:p>
    <w:p w14:paraId="4A113F1F" w14:textId="7D16267D" w:rsidR="005330AA" w:rsidRPr="001957DA" w:rsidRDefault="005330AA" w:rsidP="00A77B3D">
      <w:pPr>
        <w:pStyle w:val="ListParagraph"/>
        <w:numPr>
          <w:ilvl w:val="0"/>
          <w:numId w:val="0"/>
        </w:numPr>
        <w:spacing w:after="120" w:line="360" w:lineRule="auto"/>
        <w:ind w:left="2410" w:hanging="425"/>
        <w:rPr>
          <w:rFonts w:cs="Arial"/>
          <w:i/>
          <w:iCs/>
          <w:sz w:val="22"/>
          <w:szCs w:val="22"/>
        </w:rPr>
      </w:pPr>
      <w:r w:rsidRPr="001957DA">
        <w:rPr>
          <w:rFonts w:cs="Arial"/>
          <w:i/>
          <w:iCs/>
          <w:sz w:val="22"/>
          <w:szCs w:val="22"/>
        </w:rPr>
        <w:t>(iii)</w:t>
      </w:r>
      <w:r w:rsidRPr="001957DA">
        <w:rPr>
          <w:rFonts w:cs="Arial"/>
          <w:i/>
          <w:iCs/>
          <w:sz w:val="22"/>
          <w:szCs w:val="22"/>
        </w:rPr>
        <w:tab/>
        <w:t>any money-market instrument;</w:t>
      </w:r>
    </w:p>
    <w:p w14:paraId="12AF761C" w14:textId="0E6FF9B5" w:rsidR="005330AA" w:rsidRPr="001957DA" w:rsidRDefault="005330AA" w:rsidP="00A77B3D">
      <w:pPr>
        <w:pStyle w:val="ListParagraph"/>
        <w:numPr>
          <w:ilvl w:val="0"/>
          <w:numId w:val="0"/>
        </w:numPr>
        <w:spacing w:after="120" w:line="360" w:lineRule="auto"/>
        <w:ind w:left="2410" w:hanging="425"/>
        <w:rPr>
          <w:rFonts w:cs="Arial"/>
          <w:i/>
          <w:iCs/>
          <w:sz w:val="22"/>
          <w:szCs w:val="22"/>
        </w:rPr>
      </w:pPr>
      <w:r w:rsidRPr="001957DA">
        <w:rPr>
          <w:rFonts w:cs="Arial"/>
          <w:i/>
          <w:iCs/>
          <w:sz w:val="22"/>
          <w:szCs w:val="22"/>
        </w:rPr>
        <w:t>(iv)</w:t>
      </w:r>
      <w:r w:rsidRPr="001957DA">
        <w:rPr>
          <w:rFonts w:cs="Arial"/>
          <w:i/>
          <w:iCs/>
          <w:sz w:val="22"/>
          <w:szCs w:val="22"/>
        </w:rPr>
        <w:tab/>
        <w:t>any warrant, certificate, and other instrument acknowledging, conferring or creating rights to subscribe to, acquire, dispose of, or convert securities and instruments referred to in subparagraphs (i), (ii) and (iii);</w:t>
      </w:r>
    </w:p>
    <w:p w14:paraId="33CC3619" w14:textId="7160176F" w:rsidR="005330AA" w:rsidRPr="001957DA" w:rsidRDefault="005330AA" w:rsidP="00A77B3D">
      <w:pPr>
        <w:pStyle w:val="ListParagraph"/>
        <w:numPr>
          <w:ilvl w:val="0"/>
          <w:numId w:val="0"/>
        </w:numPr>
        <w:spacing w:after="120" w:line="360" w:lineRule="auto"/>
        <w:ind w:left="2410" w:hanging="425"/>
        <w:rPr>
          <w:rFonts w:cs="Arial"/>
          <w:i/>
          <w:iCs/>
          <w:sz w:val="22"/>
          <w:szCs w:val="22"/>
        </w:rPr>
      </w:pPr>
      <w:r w:rsidRPr="001957DA">
        <w:rPr>
          <w:rFonts w:cs="Arial"/>
          <w:i/>
          <w:iCs/>
          <w:sz w:val="22"/>
          <w:szCs w:val="22"/>
        </w:rPr>
        <w:t>(v)</w:t>
      </w:r>
      <w:r w:rsidRPr="001957DA">
        <w:rPr>
          <w:rFonts w:cs="Arial"/>
          <w:i/>
          <w:iCs/>
          <w:sz w:val="22"/>
          <w:szCs w:val="22"/>
        </w:rPr>
        <w:tab/>
        <w:t>any 'securities' as defined in section 1 of the Financial Markets Act, 2012 (Act 19 of 2012);</w:t>
      </w:r>
    </w:p>
    <w:p w14:paraId="3C441C3F" w14:textId="0D26060A" w:rsidR="005330AA" w:rsidRPr="001957DA" w:rsidRDefault="00614619" w:rsidP="00CE0C08">
      <w:pPr>
        <w:pStyle w:val="ListParagraph"/>
        <w:numPr>
          <w:ilvl w:val="0"/>
          <w:numId w:val="0"/>
        </w:numPr>
        <w:spacing w:after="120" w:line="360" w:lineRule="auto"/>
        <w:ind w:left="1985" w:hanging="567"/>
        <w:rPr>
          <w:rFonts w:cs="Arial"/>
          <w:i/>
          <w:iCs/>
          <w:sz w:val="22"/>
          <w:szCs w:val="22"/>
        </w:rPr>
      </w:pPr>
      <w:r w:rsidRPr="001957DA">
        <w:rPr>
          <w:rFonts w:cs="Arial"/>
          <w:i/>
          <w:iCs/>
          <w:sz w:val="22"/>
          <w:szCs w:val="22"/>
        </w:rPr>
        <w:t xml:space="preserve"> </w:t>
      </w:r>
      <w:r w:rsidR="005330AA" w:rsidRPr="001957DA">
        <w:rPr>
          <w:rFonts w:cs="Arial"/>
          <w:i/>
          <w:iCs/>
          <w:sz w:val="22"/>
          <w:szCs w:val="22"/>
        </w:rPr>
        <w:t>(b)</w:t>
      </w:r>
      <w:r w:rsidR="005330AA" w:rsidRPr="001957DA">
        <w:rPr>
          <w:rFonts w:cs="Arial"/>
          <w:i/>
          <w:iCs/>
          <w:sz w:val="22"/>
          <w:szCs w:val="22"/>
        </w:rPr>
        <w:tab/>
        <w:t>a participatory interest in one or more collective investment schemes;</w:t>
      </w:r>
    </w:p>
    <w:p w14:paraId="1BFC7B73" w14:textId="06C26F20" w:rsidR="005330AA" w:rsidRPr="001957DA" w:rsidRDefault="00614619" w:rsidP="00CE0C08">
      <w:pPr>
        <w:pStyle w:val="ListParagraph"/>
        <w:numPr>
          <w:ilvl w:val="0"/>
          <w:numId w:val="0"/>
        </w:numPr>
        <w:spacing w:after="120" w:line="360" w:lineRule="auto"/>
        <w:ind w:left="1985" w:hanging="567"/>
        <w:rPr>
          <w:rFonts w:cs="Arial"/>
          <w:i/>
          <w:iCs/>
          <w:sz w:val="22"/>
          <w:szCs w:val="22"/>
        </w:rPr>
      </w:pPr>
      <w:r w:rsidRPr="001957DA">
        <w:rPr>
          <w:rFonts w:cs="Arial"/>
          <w:i/>
          <w:iCs/>
          <w:sz w:val="22"/>
          <w:szCs w:val="22"/>
        </w:rPr>
        <w:t xml:space="preserve"> </w:t>
      </w:r>
      <w:r w:rsidR="005330AA" w:rsidRPr="001957DA">
        <w:rPr>
          <w:rFonts w:cs="Arial"/>
          <w:i/>
          <w:iCs/>
          <w:sz w:val="22"/>
          <w:szCs w:val="22"/>
        </w:rPr>
        <w:t>(c)</w:t>
      </w:r>
      <w:r w:rsidR="005330AA" w:rsidRPr="001957DA">
        <w:rPr>
          <w:rFonts w:cs="Arial"/>
          <w:i/>
          <w:iCs/>
          <w:sz w:val="22"/>
          <w:szCs w:val="22"/>
        </w:rPr>
        <w:tab/>
        <w:t>a long-term or a short-term insurance contract or policy, referred to in the Long-term Insurance Act, 1998 (Act 52 of 1998), and the Short-term Insurance Act, 1998 (Act 53 of 1998), respectively;</w:t>
      </w:r>
    </w:p>
    <w:p w14:paraId="4018A718" w14:textId="6C2DC8A8" w:rsidR="005330AA" w:rsidRPr="001957DA" w:rsidRDefault="00614619" w:rsidP="00CE0C08">
      <w:pPr>
        <w:pStyle w:val="ListParagraph"/>
        <w:numPr>
          <w:ilvl w:val="0"/>
          <w:numId w:val="0"/>
        </w:numPr>
        <w:spacing w:after="120" w:line="360" w:lineRule="auto"/>
        <w:ind w:left="1985" w:hanging="567"/>
        <w:rPr>
          <w:rFonts w:cs="Arial"/>
          <w:i/>
          <w:iCs/>
          <w:sz w:val="22"/>
          <w:szCs w:val="22"/>
        </w:rPr>
      </w:pPr>
      <w:r w:rsidRPr="001957DA">
        <w:rPr>
          <w:rFonts w:cs="Arial"/>
          <w:i/>
          <w:iCs/>
          <w:sz w:val="22"/>
          <w:szCs w:val="22"/>
        </w:rPr>
        <w:t xml:space="preserve"> </w:t>
      </w:r>
      <w:r w:rsidR="005330AA" w:rsidRPr="001957DA">
        <w:rPr>
          <w:rFonts w:cs="Arial"/>
          <w:i/>
          <w:iCs/>
          <w:sz w:val="22"/>
          <w:szCs w:val="22"/>
        </w:rPr>
        <w:t>(d)</w:t>
      </w:r>
      <w:r w:rsidR="005330AA" w:rsidRPr="001957DA">
        <w:rPr>
          <w:rFonts w:cs="Arial"/>
          <w:i/>
          <w:iCs/>
          <w:sz w:val="22"/>
          <w:szCs w:val="22"/>
        </w:rPr>
        <w:tab/>
        <w:t>a benefit provided by-</w:t>
      </w:r>
    </w:p>
    <w:p w14:paraId="0CCF2607" w14:textId="04BB4002" w:rsidR="005330AA" w:rsidRPr="001957DA" w:rsidRDefault="005330AA" w:rsidP="00A77B3D">
      <w:pPr>
        <w:pStyle w:val="ListParagraph"/>
        <w:numPr>
          <w:ilvl w:val="0"/>
          <w:numId w:val="0"/>
        </w:numPr>
        <w:spacing w:after="120" w:line="360" w:lineRule="auto"/>
        <w:ind w:left="2410" w:hanging="425"/>
        <w:rPr>
          <w:rFonts w:cs="Arial"/>
          <w:i/>
          <w:iCs/>
          <w:sz w:val="22"/>
          <w:szCs w:val="22"/>
        </w:rPr>
      </w:pPr>
      <w:r w:rsidRPr="001957DA">
        <w:rPr>
          <w:rFonts w:cs="Arial"/>
          <w:i/>
          <w:iCs/>
          <w:sz w:val="22"/>
          <w:szCs w:val="22"/>
        </w:rPr>
        <w:t>(i)</w:t>
      </w:r>
      <w:r w:rsidRPr="001957DA">
        <w:rPr>
          <w:rFonts w:cs="Arial"/>
          <w:i/>
          <w:iCs/>
          <w:sz w:val="22"/>
          <w:szCs w:val="22"/>
        </w:rPr>
        <w:tab/>
        <w:t>a pension fund organisation as defined in section 1 (1) of the Pension Funds Act, 1956 (Act 24 of 1956), to the members of the organisation by virtue of membership; or</w:t>
      </w:r>
    </w:p>
    <w:p w14:paraId="01F29A03" w14:textId="10BFABD3" w:rsidR="005330AA" w:rsidRPr="001957DA" w:rsidRDefault="005330AA" w:rsidP="00A77B3D">
      <w:pPr>
        <w:pStyle w:val="ListParagraph"/>
        <w:numPr>
          <w:ilvl w:val="0"/>
          <w:numId w:val="0"/>
        </w:numPr>
        <w:spacing w:after="120" w:line="360" w:lineRule="auto"/>
        <w:ind w:left="2410" w:hanging="425"/>
        <w:rPr>
          <w:rFonts w:cs="Arial"/>
          <w:i/>
          <w:iCs/>
          <w:sz w:val="22"/>
          <w:szCs w:val="22"/>
        </w:rPr>
      </w:pPr>
      <w:r w:rsidRPr="001957DA">
        <w:rPr>
          <w:rFonts w:cs="Arial"/>
          <w:i/>
          <w:iCs/>
          <w:sz w:val="22"/>
          <w:szCs w:val="22"/>
        </w:rPr>
        <w:t>(ii)</w:t>
      </w:r>
      <w:r w:rsidRPr="001957DA">
        <w:rPr>
          <w:rFonts w:cs="Arial"/>
          <w:i/>
          <w:iCs/>
          <w:sz w:val="22"/>
          <w:szCs w:val="22"/>
        </w:rPr>
        <w:tab/>
        <w:t>a friendly society referred to in the Friendly Societies Act, 1956 (Act 25 of 1956), to the members of the society by virtue of membership;</w:t>
      </w:r>
    </w:p>
    <w:p w14:paraId="530B12CC" w14:textId="3377D16A" w:rsidR="005330AA" w:rsidRPr="001957DA" w:rsidRDefault="00614619" w:rsidP="00CE0C08">
      <w:pPr>
        <w:pStyle w:val="ListParagraph"/>
        <w:numPr>
          <w:ilvl w:val="0"/>
          <w:numId w:val="0"/>
        </w:numPr>
        <w:spacing w:after="120" w:line="360" w:lineRule="auto"/>
        <w:ind w:left="1985" w:hanging="567"/>
        <w:rPr>
          <w:rFonts w:cs="Arial"/>
          <w:i/>
          <w:iCs/>
          <w:sz w:val="22"/>
          <w:szCs w:val="22"/>
        </w:rPr>
      </w:pPr>
      <w:r w:rsidRPr="001957DA">
        <w:rPr>
          <w:rFonts w:cs="Arial"/>
          <w:i/>
          <w:iCs/>
          <w:sz w:val="22"/>
          <w:szCs w:val="22"/>
        </w:rPr>
        <w:t xml:space="preserve"> </w:t>
      </w:r>
      <w:r w:rsidR="005330AA" w:rsidRPr="001957DA">
        <w:rPr>
          <w:rFonts w:cs="Arial"/>
          <w:i/>
          <w:iCs/>
          <w:sz w:val="22"/>
          <w:szCs w:val="22"/>
        </w:rPr>
        <w:t>(e)</w:t>
      </w:r>
      <w:r w:rsidR="005330AA" w:rsidRPr="001957DA">
        <w:rPr>
          <w:rFonts w:cs="Arial"/>
          <w:i/>
          <w:iCs/>
          <w:sz w:val="22"/>
          <w:szCs w:val="22"/>
        </w:rPr>
        <w:tab/>
        <w:t>a foreign currency denominated investment instrument, including a foreign currency deposit;</w:t>
      </w:r>
    </w:p>
    <w:p w14:paraId="6ADCEE4E" w14:textId="16A99711" w:rsidR="005330AA" w:rsidRPr="001957DA" w:rsidRDefault="00614619" w:rsidP="00CE0C08">
      <w:pPr>
        <w:pStyle w:val="ListParagraph"/>
        <w:numPr>
          <w:ilvl w:val="0"/>
          <w:numId w:val="0"/>
        </w:numPr>
        <w:spacing w:after="120" w:line="360" w:lineRule="auto"/>
        <w:ind w:left="1985" w:hanging="567"/>
        <w:rPr>
          <w:rFonts w:cs="Arial"/>
          <w:i/>
          <w:iCs/>
          <w:sz w:val="22"/>
          <w:szCs w:val="22"/>
        </w:rPr>
      </w:pPr>
      <w:r w:rsidRPr="001957DA">
        <w:rPr>
          <w:rFonts w:cs="Arial"/>
          <w:i/>
          <w:iCs/>
          <w:sz w:val="22"/>
          <w:szCs w:val="22"/>
        </w:rPr>
        <w:t xml:space="preserve"> </w:t>
      </w:r>
      <w:r w:rsidR="005330AA" w:rsidRPr="001957DA">
        <w:rPr>
          <w:rFonts w:cs="Arial"/>
          <w:i/>
          <w:iCs/>
          <w:sz w:val="22"/>
          <w:szCs w:val="22"/>
        </w:rPr>
        <w:t>(f)</w:t>
      </w:r>
      <w:r w:rsidR="005330AA" w:rsidRPr="001957DA">
        <w:rPr>
          <w:rFonts w:cs="Arial"/>
          <w:i/>
          <w:iCs/>
          <w:sz w:val="22"/>
          <w:szCs w:val="22"/>
        </w:rPr>
        <w:tab/>
        <w:t>a deposit as defined in section 1 (1) of the Banks Act, 1990 (Act 94 of 1990);</w:t>
      </w:r>
    </w:p>
    <w:p w14:paraId="38AF2125" w14:textId="03152C90" w:rsidR="005330AA" w:rsidRPr="001957DA" w:rsidRDefault="00614619" w:rsidP="00CE0C08">
      <w:pPr>
        <w:pStyle w:val="ListParagraph"/>
        <w:numPr>
          <w:ilvl w:val="0"/>
          <w:numId w:val="0"/>
        </w:numPr>
        <w:spacing w:after="120" w:line="360" w:lineRule="auto"/>
        <w:ind w:left="1985" w:hanging="567"/>
        <w:rPr>
          <w:rFonts w:cs="Arial"/>
          <w:i/>
          <w:iCs/>
          <w:sz w:val="22"/>
          <w:szCs w:val="22"/>
        </w:rPr>
      </w:pPr>
      <w:r w:rsidRPr="001957DA">
        <w:rPr>
          <w:rFonts w:cs="Arial"/>
          <w:i/>
          <w:iCs/>
          <w:sz w:val="22"/>
          <w:szCs w:val="22"/>
        </w:rPr>
        <w:lastRenderedPageBreak/>
        <w:t xml:space="preserve"> </w:t>
      </w:r>
      <w:r w:rsidR="005330AA" w:rsidRPr="001957DA">
        <w:rPr>
          <w:rFonts w:cs="Arial"/>
          <w:i/>
          <w:iCs/>
          <w:sz w:val="22"/>
          <w:szCs w:val="22"/>
        </w:rPr>
        <w:t>(g)</w:t>
      </w:r>
      <w:r w:rsidR="005330AA" w:rsidRPr="001957DA">
        <w:rPr>
          <w:rFonts w:cs="Arial"/>
          <w:i/>
          <w:iCs/>
          <w:sz w:val="22"/>
          <w:szCs w:val="22"/>
        </w:rPr>
        <w:tab/>
        <w:t>a health service benefit provided by a medical scheme as defined in section 1 (1) of the Medical Schemes Act, 1998 (Act 131 of 1998);</w:t>
      </w:r>
    </w:p>
    <w:p w14:paraId="31975731" w14:textId="5E5B4B6E" w:rsidR="005330AA" w:rsidRPr="001957DA" w:rsidRDefault="00614619" w:rsidP="00CE0C08">
      <w:pPr>
        <w:pStyle w:val="ListParagraph"/>
        <w:numPr>
          <w:ilvl w:val="0"/>
          <w:numId w:val="0"/>
        </w:numPr>
        <w:spacing w:after="120" w:line="360" w:lineRule="auto"/>
        <w:ind w:left="1985" w:hanging="567"/>
        <w:rPr>
          <w:rFonts w:cs="Arial"/>
          <w:i/>
          <w:iCs/>
          <w:sz w:val="22"/>
          <w:szCs w:val="22"/>
        </w:rPr>
      </w:pPr>
      <w:r w:rsidRPr="001957DA">
        <w:rPr>
          <w:rFonts w:cs="Arial"/>
          <w:i/>
          <w:iCs/>
          <w:sz w:val="22"/>
          <w:szCs w:val="22"/>
        </w:rPr>
        <w:t xml:space="preserve"> </w:t>
      </w:r>
      <w:r w:rsidR="005330AA" w:rsidRPr="001957DA">
        <w:rPr>
          <w:rFonts w:cs="Arial"/>
          <w:i/>
          <w:iCs/>
          <w:sz w:val="22"/>
          <w:szCs w:val="22"/>
        </w:rPr>
        <w:t>(h)</w:t>
      </w:r>
      <w:r w:rsidR="005330AA" w:rsidRPr="001957DA">
        <w:rPr>
          <w:rFonts w:cs="Arial"/>
          <w:i/>
          <w:iCs/>
          <w:sz w:val="22"/>
          <w:szCs w:val="22"/>
        </w:rPr>
        <w:tab/>
        <w:t>any other product similar in nature to any financial product referred to in paragraphs (a) to (g), inclusive, declared by the registrar by notice in the Gazette to be a financial product for the purposes of this Act;</w:t>
      </w:r>
    </w:p>
    <w:p w14:paraId="0442A797" w14:textId="6F69A0DD" w:rsidR="005330AA" w:rsidRPr="001957DA" w:rsidRDefault="00614619" w:rsidP="00CE0C08">
      <w:pPr>
        <w:pStyle w:val="ListParagraph"/>
        <w:numPr>
          <w:ilvl w:val="0"/>
          <w:numId w:val="0"/>
        </w:numPr>
        <w:spacing w:after="120" w:line="360" w:lineRule="auto"/>
        <w:ind w:left="1985" w:hanging="567"/>
        <w:rPr>
          <w:rFonts w:cs="Arial"/>
          <w:i/>
          <w:iCs/>
          <w:sz w:val="22"/>
          <w:szCs w:val="22"/>
        </w:rPr>
      </w:pPr>
      <w:r w:rsidRPr="001957DA">
        <w:rPr>
          <w:rFonts w:cs="Arial"/>
          <w:i/>
          <w:iCs/>
          <w:sz w:val="22"/>
          <w:szCs w:val="22"/>
        </w:rPr>
        <w:t xml:space="preserve"> </w:t>
      </w:r>
      <w:r w:rsidR="005330AA" w:rsidRPr="001957DA">
        <w:rPr>
          <w:rFonts w:cs="Arial"/>
          <w:i/>
          <w:iCs/>
          <w:sz w:val="22"/>
          <w:szCs w:val="22"/>
        </w:rPr>
        <w:t>(i)</w:t>
      </w:r>
      <w:r w:rsidR="005330AA" w:rsidRPr="001957DA">
        <w:rPr>
          <w:rFonts w:cs="Arial"/>
          <w:i/>
          <w:iCs/>
          <w:sz w:val="22"/>
          <w:szCs w:val="22"/>
        </w:rPr>
        <w:tab/>
        <w:t>any combined product containing one or more of the financial products referred to in paragraphs (a) to (h), inclusive;</w:t>
      </w:r>
    </w:p>
    <w:p w14:paraId="04A7445E" w14:textId="3146CC55" w:rsidR="005330AA" w:rsidRPr="001957DA" w:rsidRDefault="00614619" w:rsidP="00BE6129">
      <w:pPr>
        <w:pStyle w:val="ListParagraph"/>
        <w:numPr>
          <w:ilvl w:val="0"/>
          <w:numId w:val="0"/>
        </w:numPr>
        <w:spacing w:after="480" w:line="360" w:lineRule="auto"/>
        <w:ind w:left="1985" w:hanging="567"/>
        <w:rPr>
          <w:rFonts w:cs="Arial"/>
          <w:i/>
          <w:iCs/>
          <w:sz w:val="22"/>
          <w:szCs w:val="22"/>
        </w:rPr>
      </w:pPr>
      <w:r w:rsidRPr="001957DA">
        <w:rPr>
          <w:rFonts w:cs="Arial"/>
          <w:i/>
          <w:iCs/>
          <w:sz w:val="22"/>
          <w:szCs w:val="22"/>
        </w:rPr>
        <w:t xml:space="preserve"> </w:t>
      </w:r>
      <w:r w:rsidR="005330AA" w:rsidRPr="001957DA">
        <w:rPr>
          <w:rFonts w:cs="Arial"/>
          <w:i/>
          <w:iCs/>
          <w:sz w:val="22"/>
          <w:szCs w:val="22"/>
        </w:rPr>
        <w:t>(j)</w:t>
      </w:r>
      <w:r w:rsidR="005330AA" w:rsidRPr="001957DA">
        <w:rPr>
          <w:rFonts w:cs="Arial"/>
          <w:i/>
          <w:iCs/>
          <w:sz w:val="22"/>
          <w:szCs w:val="22"/>
        </w:rPr>
        <w:tab/>
        <w:t>any financial product issued by any foreign product supplier and which in nature and character is essentially similar or corresponding to a financial product referred to in paragraph (a) to (i), inclusive</w:t>
      </w:r>
      <w:r w:rsidR="001957DA">
        <w:rPr>
          <w:rFonts w:cs="Arial"/>
          <w:i/>
          <w:iCs/>
          <w:sz w:val="22"/>
          <w:szCs w:val="22"/>
        </w:rPr>
        <w:t>.’</w:t>
      </w:r>
    </w:p>
    <w:p w14:paraId="72A4C5FC" w14:textId="581B5D38" w:rsidR="00D376F8" w:rsidRPr="00ED6FE1" w:rsidRDefault="00ED6FE1" w:rsidP="00ED6FE1">
      <w:pPr>
        <w:spacing w:after="480"/>
        <w:ind w:left="720" w:hanging="720"/>
        <w:rPr>
          <w:rFonts w:cs="Arial"/>
        </w:rPr>
      </w:pPr>
      <w:r>
        <w:rPr>
          <w:rFonts w:cs="Arial"/>
          <w:szCs w:val="24"/>
        </w:rPr>
        <w:t>[21]</w:t>
      </w:r>
      <w:r>
        <w:rPr>
          <w:rFonts w:cs="Arial"/>
          <w:szCs w:val="24"/>
        </w:rPr>
        <w:tab/>
      </w:r>
      <w:r w:rsidR="00BF53D6" w:rsidRPr="00ED6FE1">
        <w:rPr>
          <w:rFonts w:cs="Arial"/>
        </w:rPr>
        <w:t xml:space="preserve">Section 36 of the FAIS Act states that any person who fails to comply with </w:t>
      </w:r>
      <w:r w:rsidR="00BF53D6" w:rsidRPr="00ED6FE1">
        <w:rPr>
          <w:rFonts w:cs="Arial"/>
          <w:i/>
          <w:iCs/>
        </w:rPr>
        <w:t xml:space="preserve">inter alia </w:t>
      </w:r>
      <w:r w:rsidR="00BF53D6" w:rsidRPr="00ED6FE1">
        <w:rPr>
          <w:rFonts w:cs="Arial"/>
        </w:rPr>
        <w:t xml:space="preserve">section 7(1) of the FAIS Act is guilty of an offence. </w:t>
      </w:r>
    </w:p>
    <w:p w14:paraId="5A37BB7A" w14:textId="08D581B9" w:rsidR="00BF53D6" w:rsidRPr="00ED6FE1" w:rsidRDefault="00ED6FE1" w:rsidP="00ED6FE1">
      <w:pPr>
        <w:spacing w:after="300"/>
        <w:ind w:left="720" w:hanging="720"/>
        <w:rPr>
          <w:rFonts w:cs="Arial"/>
        </w:rPr>
      </w:pPr>
      <w:r>
        <w:rPr>
          <w:rFonts w:cs="Arial"/>
          <w:szCs w:val="24"/>
        </w:rPr>
        <w:t>[22]</w:t>
      </w:r>
      <w:r>
        <w:rPr>
          <w:rFonts w:cs="Arial"/>
          <w:szCs w:val="24"/>
        </w:rPr>
        <w:tab/>
      </w:r>
      <w:r w:rsidR="00BF53D6" w:rsidRPr="00ED6FE1">
        <w:rPr>
          <w:rFonts w:cs="Arial"/>
        </w:rPr>
        <w:t xml:space="preserve">The FAIS Act does not regulate the consequences of a contract providing for the </w:t>
      </w:r>
      <w:r w:rsidR="00D376F8" w:rsidRPr="00ED6FE1">
        <w:rPr>
          <w:rFonts w:cs="Arial"/>
        </w:rPr>
        <w:t xml:space="preserve">provision of financial services by someone who is not an authorised FSP. In accordance with </w:t>
      </w:r>
      <w:r w:rsidR="00CD0C2E" w:rsidRPr="00ED6FE1">
        <w:rPr>
          <w:rFonts w:cs="Arial"/>
        </w:rPr>
        <w:t xml:space="preserve">the general rule espoused in </w:t>
      </w:r>
      <w:r w:rsidR="00D376F8" w:rsidRPr="00ED6FE1">
        <w:rPr>
          <w:rFonts w:cs="Arial"/>
        </w:rPr>
        <w:t xml:space="preserve">a long line of authorities it can however be regarded as implied </w:t>
      </w:r>
      <w:r w:rsidR="00CD0C2E" w:rsidRPr="00ED6FE1">
        <w:rPr>
          <w:rFonts w:cs="Arial"/>
        </w:rPr>
        <w:t xml:space="preserve">in this instance </w:t>
      </w:r>
      <w:r w:rsidR="00D376F8" w:rsidRPr="00ED6FE1">
        <w:rPr>
          <w:rFonts w:cs="Arial"/>
        </w:rPr>
        <w:t xml:space="preserve">that, </w:t>
      </w:r>
      <w:r w:rsidR="0041717E" w:rsidRPr="00ED6FE1">
        <w:rPr>
          <w:rFonts w:cs="Arial"/>
        </w:rPr>
        <w:t>because</w:t>
      </w:r>
      <w:r w:rsidR="00D376F8" w:rsidRPr="00ED6FE1">
        <w:rPr>
          <w:rFonts w:cs="Arial"/>
        </w:rPr>
        <w:t xml:space="preserve"> it </w:t>
      </w:r>
      <w:r w:rsidR="00CD0C2E" w:rsidRPr="00ED6FE1">
        <w:rPr>
          <w:rFonts w:cs="Arial"/>
        </w:rPr>
        <w:t>would be</w:t>
      </w:r>
      <w:r w:rsidR="00D376F8" w:rsidRPr="00ED6FE1">
        <w:rPr>
          <w:rFonts w:cs="Arial"/>
        </w:rPr>
        <w:t xml:space="preserve"> an offence </w:t>
      </w:r>
      <w:r w:rsidR="00CD0C2E" w:rsidRPr="00ED6FE1">
        <w:rPr>
          <w:rFonts w:cs="Arial"/>
        </w:rPr>
        <w:t>to require a person to act as an FSP without authorisation</w:t>
      </w:r>
      <w:r w:rsidR="00D376F8" w:rsidRPr="00ED6FE1">
        <w:rPr>
          <w:rFonts w:cs="Arial"/>
        </w:rPr>
        <w:t xml:space="preserve">, </w:t>
      </w:r>
      <w:r w:rsidR="0041717E" w:rsidRPr="00ED6FE1">
        <w:rPr>
          <w:rFonts w:cs="Arial"/>
        </w:rPr>
        <w:t>an agreement</w:t>
      </w:r>
      <w:r w:rsidR="00CD0C2E" w:rsidRPr="00ED6FE1">
        <w:rPr>
          <w:rFonts w:cs="Arial"/>
        </w:rPr>
        <w:t xml:space="preserve"> which is premised on performance of that kind</w:t>
      </w:r>
      <w:r w:rsidR="00D376F8" w:rsidRPr="00ED6FE1">
        <w:rPr>
          <w:rFonts w:cs="Arial"/>
        </w:rPr>
        <w:t xml:space="preserve"> should be regarded as prohibited and therefore void.</w:t>
      </w:r>
      <w:r w:rsidR="00CD0C2E">
        <w:rPr>
          <w:rStyle w:val="FootnoteReference"/>
          <w:rFonts w:cs="Arial"/>
        </w:rPr>
        <w:footnoteReference w:id="9"/>
      </w:r>
    </w:p>
    <w:p w14:paraId="2E5D764A" w14:textId="169777FA" w:rsidR="00424ECB" w:rsidRPr="006E0FFF" w:rsidRDefault="00F15F46" w:rsidP="00206C63">
      <w:pPr>
        <w:pStyle w:val="Heading1"/>
      </w:pPr>
      <w:r>
        <w:rPr>
          <w:caps w:val="0"/>
        </w:rPr>
        <w:lastRenderedPageBreak/>
        <w:t>Analysis</w:t>
      </w:r>
    </w:p>
    <w:p w14:paraId="430B9890" w14:textId="14511FA4" w:rsidR="00424ECB" w:rsidRPr="00ED6FE1" w:rsidRDefault="00ED6FE1" w:rsidP="00ED6FE1">
      <w:pPr>
        <w:spacing w:after="480"/>
        <w:ind w:left="720" w:hanging="720"/>
        <w:rPr>
          <w:rFonts w:cs="Arial"/>
        </w:rPr>
      </w:pPr>
      <w:r>
        <w:rPr>
          <w:rFonts w:cs="Arial"/>
          <w:szCs w:val="24"/>
        </w:rPr>
        <w:t>[23]</w:t>
      </w:r>
      <w:r>
        <w:rPr>
          <w:rFonts w:cs="Arial"/>
          <w:szCs w:val="24"/>
        </w:rPr>
        <w:tab/>
      </w:r>
      <w:r w:rsidR="000746F9" w:rsidRPr="00ED6FE1">
        <w:rPr>
          <w:rFonts w:cs="Arial"/>
        </w:rPr>
        <w:t>Although the exception is not a model of clarity, it appear</w:t>
      </w:r>
      <w:r w:rsidR="008C150C" w:rsidRPr="00ED6FE1">
        <w:rPr>
          <w:rFonts w:cs="Arial"/>
        </w:rPr>
        <w:t>s</w:t>
      </w:r>
      <w:r w:rsidR="000746F9" w:rsidRPr="00ED6FE1">
        <w:rPr>
          <w:rFonts w:cs="Arial"/>
        </w:rPr>
        <w:t xml:space="preserve"> that t</w:t>
      </w:r>
      <w:r w:rsidR="00851802" w:rsidRPr="00ED6FE1">
        <w:rPr>
          <w:rFonts w:cs="Arial"/>
        </w:rPr>
        <w:t xml:space="preserve">he defendant </w:t>
      </w:r>
      <w:r w:rsidR="000746F9" w:rsidRPr="00ED6FE1">
        <w:rPr>
          <w:rFonts w:cs="Arial"/>
        </w:rPr>
        <w:t>contends</w:t>
      </w:r>
      <w:r w:rsidR="007E29A7" w:rsidRPr="00ED6FE1">
        <w:rPr>
          <w:rFonts w:cs="Arial"/>
        </w:rPr>
        <w:t xml:space="preserve"> in general terms</w:t>
      </w:r>
      <w:r w:rsidR="00851802" w:rsidRPr="00ED6FE1">
        <w:rPr>
          <w:rFonts w:cs="Arial"/>
        </w:rPr>
        <w:t xml:space="preserve"> that </w:t>
      </w:r>
      <w:r w:rsidR="000746F9" w:rsidRPr="00ED6FE1">
        <w:rPr>
          <w:rFonts w:cs="Arial"/>
        </w:rPr>
        <w:t>the plaintiff has furnished advice to the defendant, alternatively rendered an intermediary service, pursuant to the brokerage agreement, read with the collaboration agreement. The defendant further alleges that, as a consequence, the “brokerage agreement is void ab initio</w:t>
      </w:r>
      <w:r w:rsidR="008C150C" w:rsidRPr="00ED6FE1">
        <w:rPr>
          <w:rFonts w:cs="Arial"/>
        </w:rPr>
        <w:t xml:space="preserve"> as Plaintiff could not render any financial services to Defendant without a valid licence as required in terms of section 8 of the </w:t>
      </w:r>
      <w:r w:rsidR="00A21EBF" w:rsidRPr="00ED6FE1">
        <w:rPr>
          <w:rFonts w:cs="Arial"/>
        </w:rPr>
        <w:t>[FAIS]</w:t>
      </w:r>
      <w:r w:rsidR="008C150C" w:rsidRPr="00ED6FE1">
        <w:rPr>
          <w:rFonts w:cs="Arial"/>
        </w:rPr>
        <w:t xml:space="preserve"> Act”, and “[a]ccordingly the Plaintiff’s Particulars of Claim do not establish a basis in law for the claim due to the non-compliance with the </w:t>
      </w:r>
      <w:r w:rsidR="00A21EBF" w:rsidRPr="00ED6FE1">
        <w:rPr>
          <w:rFonts w:cs="Arial"/>
        </w:rPr>
        <w:t>[FAIS</w:t>
      </w:r>
      <w:r w:rsidR="008C150C" w:rsidRPr="00ED6FE1">
        <w:rPr>
          <w:rFonts w:cs="Arial"/>
        </w:rPr>
        <w:t>] Act”.</w:t>
      </w:r>
    </w:p>
    <w:p w14:paraId="4B4827E4" w14:textId="73DB560C" w:rsidR="001C50A3" w:rsidRPr="00ED6FE1" w:rsidRDefault="00ED6FE1" w:rsidP="00ED6FE1">
      <w:pPr>
        <w:spacing w:after="480"/>
        <w:ind w:left="720" w:hanging="720"/>
        <w:rPr>
          <w:rFonts w:cs="Arial"/>
        </w:rPr>
      </w:pPr>
      <w:r>
        <w:rPr>
          <w:rFonts w:cs="Arial"/>
          <w:szCs w:val="24"/>
        </w:rPr>
        <w:t>[24]</w:t>
      </w:r>
      <w:r>
        <w:rPr>
          <w:rFonts w:cs="Arial"/>
          <w:szCs w:val="24"/>
        </w:rPr>
        <w:tab/>
      </w:r>
      <w:r w:rsidR="003858BB" w:rsidRPr="00ED6FE1">
        <w:rPr>
          <w:rFonts w:cs="Arial"/>
        </w:rPr>
        <w:t xml:space="preserve">In both its exception and its heads of argument, the defendant has focused on clause </w:t>
      </w:r>
      <w:r w:rsidR="003858BB" w:rsidRPr="00ED6FE1">
        <w:rPr>
          <w:rFonts w:cs="Arial"/>
          <w:i/>
          <w:iCs/>
        </w:rPr>
        <w:t>(c)</w:t>
      </w:r>
      <w:r w:rsidR="003858BB" w:rsidRPr="00ED6FE1">
        <w:rPr>
          <w:rFonts w:cs="Arial"/>
        </w:rPr>
        <w:t xml:space="preserve"> of the definition of “advice”, and </w:t>
      </w:r>
      <w:r w:rsidR="0003231B" w:rsidRPr="00ED6FE1">
        <w:rPr>
          <w:rFonts w:cs="Arial"/>
        </w:rPr>
        <w:t>consequently</w:t>
      </w:r>
      <w:r w:rsidR="003858BB" w:rsidRPr="00ED6FE1">
        <w:rPr>
          <w:rFonts w:cs="Arial"/>
        </w:rPr>
        <w:t xml:space="preserve"> sought to contend that Van Dyk has furnished to the defendant a “recommendation, guidance or proposal of a financial nature … on the conclusion of any other transaction, including a loan or cession, aimed at the incurring of any liability or the acquisition of any right or benefit in respect of any financial product”. </w:t>
      </w:r>
      <w:r w:rsidR="001C50A3" w:rsidRPr="00ED6FE1">
        <w:rPr>
          <w:rFonts w:cs="Arial"/>
        </w:rPr>
        <w:t xml:space="preserve">That argument is however unsustainable for </w:t>
      </w:r>
      <w:r w:rsidR="00614619" w:rsidRPr="00ED6FE1">
        <w:rPr>
          <w:rFonts w:cs="Arial"/>
        </w:rPr>
        <w:t>at least a couple of</w:t>
      </w:r>
      <w:r w:rsidR="001C50A3" w:rsidRPr="00ED6FE1">
        <w:rPr>
          <w:rFonts w:cs="Arial"/>
        </w:rPr>
        <w:t xml:space="preserve"> reasons.</w:t>
      </w:r>
    </w:p>
    <w:p w14:paraId="21457367" w14:textId="0BC66275" w:rsidR="0023218E" w:rsidRPr="00ED6FE1" w:rsidRDefault="00ED6FE1" w:rsidP="00ED6FE1">
      <w:pPr>
        <w:spacing w:after="480"/>
        <w:ind w:left="720" w:hanging="720"/>
        <w:rPr>
          <w:rFonts w:cs="Arial"/>
        </w:rPr>
      </w:pPr>
      <w:r>
        <w:rPr>
          <w:rFonts w:cs="Arial"/>
          <w:szCs w:val="24"/>
        </w:rPr>
        <w:t>[25]</w:t>
      </w:r>
      <w:r>
        <w:rPr>
          <w:rFonts w:cs="Arial"/>
          <w:szCs w:val="24"/>
        </w:rPr>
        <w:tab/>
      </w:r>
      <w:r w:rsidR="001C50A3" w:rsidRPr="00ED6FE1">
        <w:rPr>
          <w:rFonts w:cs="Arial"/>
          <w:i/>
          <w:iCs/>
        </w:rPr>
        <w:t>In the first instance</w:t>
      </w:r>
      <w:r w:rsidR="001C50A3" w:rsidRPr="00ED6FE1">
        <w:rPr>
          <w:rFonts w:cs="Arial"/>
        </w:rPr>
        <w:t>, it was not sufficient for Van Dyk to have made a recommendation or proposal to the defendant in connection with the conclusion of a loan agreement. What also had to be shown was that the loan was connected with the incurring of liability or the acquisition of a right or benefit “</w:t>
      </w:r>
      <w:r w:rsidR="001C50A3" w:rsidRPr="00ED6FE1">
        <w:rPr>
          <w:rFonts w:cs="Arial"/>
          <w:i/>
          <w:iCs/>
          <w:u w:val="single"/>
        </w:rPr>
        <w:t>in respect of any financial product</w:t>
      </w:r>
      <w:r w:rsidR="001C50A3" w:rsidRPr="00ED6FE1">
        <w:rPr>
          <w:rFonts w:cs="Arial"/>
        </w:rPr>
        <w:t xml:space="preserve">” [emphasis added]. </w:t>
      </w:r>
    </w:p>
    <w:p w14:paraId="7B73DA55" w14:textId="4FAAFD17" w:rsidR="00A21EBF" w:rsidRPr="00ED6FE1" w:rsidRDefault="00ED6FE1" w:rsidP="00ED6FE1">
      <w:pPr>
        <w:spacing w:after="480"/>
        <w:ind w:left="720" w:hanging="720"/>
        <w:rPr>
          <w:rFonts w:cs="Arial"/>
        </w:rPr>
      </w:pPr>
      <w:r>
        <w:rPr>
          <w:rFonts w:cs="Arial"/>
          <w:szCs w:val="24"/>
        </w:rPr>
        <w:lastRenderedPageBreak/>
        <w:t>[26]</w:t>
      </w:r>
      <w:r>
        <w:rPr>
          <w:rFonts w:cs="Arial"/>
          <w:szCs w:val="24"/>
        </w:rPr>
        <w:tab/>
      </w:r>
      <w:r w:rsidR="00A21EBF" w:rsidRPr="00ED6FE1">
        <w:rPr>
          <w:rFonts w:cs="Arial"/>
        </w:rPr>
        <w:t xml:space="preserve">The defendant’s counsel submitted that, on a proper interpretation, clause </w:t>
      </w:r>
      <w:r w:rsidR="00A21EBF" w:rsidRPr="00ED6FE1">
        <w:rPr>
          <w:rFonts w:cs="Arial"/>
          <w:i/>
          <w:iCs/>
        </w:rPr>
        <w:t>(c)</w:t>
      </w:r>
      <w:r w:rsidR="00A21EBF" w:rsidRPr="00ED6FE1">
        <w:rPr>
          <w:rFonts w:cs="Arial"/>
        </w:rPr>
        <w:t xml:space="preserve"> of the definition did not require this, as that clause should be considered to deal with two separate events: (i)</w:t>
      </w:r>
      <w:r w:rsidR="005D50EC" w:rsidRPr="00ED6FE1">
        <w:rPr>
          <w:rFonts w:cs="Arial"/>
        </w:rPr>
        <w:t> </w:t>
      </w:r>
      <w:r w:rsidR="00A21EBF" w:rsidRPr="00ED6FE1">
        <w:rPr>
          <w:rFonts w:cs="Arial"/>
        </w:rPr>
        <w:t>the conclusion of any other transaction, including a loan or cession, aimed at the incurring of any liability; or (ii) the acquisition of any right or bene</w:t>
      </w:r>
      <w:r w:rsidR="005D50EC" w:rsidRPr="00ED6FE1">
        <w:rPr>
          <w:rFonts w:cs="Arial"/>
        </w:rPr>
        <w:t xml:space="preserve">fit in respect of any financial product. As will be apparent from the </w:t>
      </w:r>
      <w:r w:rsidR="0023218E" w:rsidRPr="00ED6FE1">
        <w:rPr>
          <w:rFonts w:cs="Arial"/>
        </w:rPr>
        <w:t>previous</w:t>
      </w:r>
      <w:r w:rsidR="005D50EC" w:rsidRPr="00ED6FE1">
        <w:rPr>
          <w:rFonts w:cs="Arial"/>
        </w:rPr>
        <w:t xml:space="preserve"> paragraph, I disagree. Neither the context nor the language </w:t>
      </w:r>
      <w:r w:rsidR="0023218E" w:rsidRPr="00ED6FE1">
        <w:rPr>
          <w:rFonts w:cs="Arial"/>
        </w:rPr>
        <w:t>is, in my view, consistent with such an interpretation</w:t>
      </w:r>
      <w:r w:rsidR="005D50EC" w:rsidRPr="00ED6FE1">
        <w:rPr>
          <w:rFonts w:cs="Arial"/>
        </w:rPr>
        <w:t xml:space="preserve">. Clauses </w:t>
      </w:r>
      <w:r w:rsidR="005D50EC" w:rsidRPr="00ED6FE1">
        <w:rPr>
          <w:rFonts w:cs="Arial"/>
          <w:i/>
          <w:iCs/>
        </w:rPr>
        <w:t>(a)</w:t>
      </w:r>
      <w:r w:rsidR="005D50EC" w:rsidRPr="00ED6FE1">
        <w:rPr>
          <w:rFonts w:cs="Arial"/>
        </w:rPr>
        <w:t xml:space="preserve">, </w:t>
      </w:r>
      <w:r w:rsidR="005D50EC" w:rsidRPr="00ED6FE1">
        <w:rPr>
          <w:rFonts w:cs="Arial"/>
          <w:i/>
          <w:iCs/>
        </w:rPr>
        <w:t>(b)</w:t>
      </w:r>
      <w:r w:rsidR="005D50EC" w:rsidRPr="00ED6FE1">
        <w:rPr>
          <w:rFonts w:cs="Arial"/>
        </w:rPr>
        <w:t xml:space="preserve"> and </w:t>
      </w:r>
      <w:r w:rsidR="005D50EC" w:rsidRPr="00ED6FE1">
        <w:rPr>
          <w:rFonts w:cs="Arial"/>
          <w:i/>
          <w:iCs/>
        </w:rPr>
        <w:t>(d)</w:t>
      </w:r>
      <w:r w:rsidR="005D50EC" w:rsidRPr="00ED6FE1">
        <w:rPr>
          <w:rFonts w:cs="Arial"/>
        </w:rPr>
        <w:t xml:space="preserve"> of the definition are concerned merely with advice relating to a financial product, and it is highly improbable that clause </w:t>
      </w:r>
      <w:r w:rsidR="005D50EC" w:rsidRPr="00ED6FE1">
        <w:rPr>
          <w:rFonts w:cs="Arial"/>
          <w:i/>
          <w:iCs/>
        </w:rPr>
        <w:t>(c)</w:t>
      </w:r>
      <w:r w:rsidR="005D50EC" w:rsidRPr="00ED6FE1">
        <w:rPr>
          <w:rFonts w:cs="Arial"/>
        </w:rPr>
        <w:t xml:space="preserve"> was intended to be different – all the more so, as an “intermediary service” must also, </w:t>
      </w:r>
      <w:r w:rsidR="0023218E" w:rsidRPr="00ED6FE1">
        <w:rPr>
          <w:rFonts w:cs="Arial"/>
        </w:rPr>
        <w:t>in terms of its definition</w:t>
      </w:r>
      <w:r w:rsidR="005D50EC" w:rsidRPr="00ED6FE1">
        <w:rPr>
          <w:rFonts w:cs="Arial"/>
        </w:rPr>
        <w:t xml:space="preserve">, relate to a financial product. It would </w:t>
      </w:r>
      <w:r w:rsidR="0023218E" w:rsidRPr="00ED6FE1">
        <w:rPr>
          <w:rFonts w:cs="Arial"/>
        </w:rPr>
        <w:t>moreover</w:t>
      </w:r>
      <w:r w:rsidR="005D50EC" w:rsidRPr="00ED6FE1">
        <w:rPr>
          <w:rFonts w:cs="Arial"/>
        </w:rPr>
        <w:t xml:space="preserve"> not be justified on the wording of clause </w:t>
      </w:r>
      <w:r w:rsidR="005D50EC" w:rsidRPr="00ED6FE1">
        <w:rPr>
          <w:rFonts w:cs="Arial"/>
          <w:i/>
          <w:iCs/>
        </w:rPr>
        <w:t>(c)</w:t>
      </w:r>
      <w:r w:rsidR="005D50EC" w:rsidRPr="00ED6FE1">
        <w:rPr>
          <w:rFonts w:cs="Arial"/>
        </w:rPr>
        <w:t xml:space="preserve"> to read it as covering two entirely different scenarios: had that been the legislature’s intention, </w:t>
      </w:r>
      <w:r w:rsidR="0023218E" w:rsidRPr="00ED6FE1">
        <w:rPr>
          <w:rFonts w:cs="Arial"/>
        </w:rPr>
        <w:t>there would have been</w:t>
      </w:r>
      <w:r w:rsidR="005D50EC" w:rsidRPr="00ED6FE1">
        <w:rPr>
          <w:rFonts w:cs="Arial"/>
        </w:rPr>
        <w:t xml:space="preserve"> </w:t>
      </w:r>
      <w:r w:rsidR="0023218E" w:rsidRPr="00ED6FE1">
        <w:rPr>
          <w:rFonts w:cs="Arial"/>
        </w:rPr>
        <w:t xml:space="preserve">two different clauses. On the plain wording of clause </w:t>
      </w:r>
      <w:r w:rsidR="0023218E" w:rsidRPr="00ED6FE1">
        <w:rPr>
          <w:rFonts w:cs="Arial"/>
          <w:i/>
          <w:iCs/>
        </w:rPr>
        <w:t>(c)</w:t>
      </w:r>
      <w:r w:rsidR="0023218E" w:rsidRPr="00ED6FE1">
        <w:rPr>
          <w:rFonts w:cs="Arial"/>
        </w:rPr>
        <w:t>, it covered advice on the conclusion of a transaction – whether aimed at incurring a liability, or acquiring a right or benefit – in respect of any financial product.</w:t>
      </w:r>
      <w:r w:rsidR="0023218E">
        <w:rPr>
          <w:rStyle w:val="FootnoteReference"/>
          <w:rFonts w:cs="Arial"/>
        </w:rPr>
        <w:footnoteReference w:id="10"/>
      </w:r>
      <w:r w:rsidR="00EE0000" w:rsidRPr="00ED6FE1">
        <w:rPr>
          <w:rFonts w:cs="Arial"/>
        </w:rPr>
        <w:t xml:space="preserve"> </w:t>
      </w:r>
      <w:r w:rsidR="0023218E" w:rsidRPr="00ED6FE1">
        <w:rPr>
          <w:rFonts w:cs="Arial"/>
        </w:rPr>
        <w:t xml:space="preserve">This could </w:t>
      </w:r>
      <w:r w:rsidR="00493994" w:rsidRPr="00ED6FE1">
        <w:rPr>
          <w:rFonts w:cs="Arial"/>
        </w:rPr>
        <w:t>possibly</w:t>
      </w:r>
      <w:r w:rsidR="0023218E" w:rsidRPr="00ED6FE1">
        <w:rPr>
          <w:rFonts w:cs="Arial"/>
        </w:rPr>
        <w:t xml:space="preserve"> have been made clearer by inserting commas in the clause after “liability” and “benefit”, though I do not think that was necessary as the clause is not ambiguous in its current form.</w:t>
      </w:r>
    </w:p>
    <w:p w14:paraId="469F79FF" w14:textId="4E913CDE" w:rsidR="00493994" w:rsidRPr="00ED6FE1" w:rsidRDefault="00ED6FE1" w:rsidP="00ED6FE1">
      <w:pPr>
        <w:spacing w:after="480"/>
        <w:ind w:left="720" w:hanging="720"/>
        <w:rPr>
          <w:rFonts w:cs="Arial"/>
        </w:rPr>
      </w:pPr>
      <w:r>
        <w:rPr>
          <w:rFonts w:cs="Arial"/>
          <w:szCs w:val="24"/>
        </w:rPr>
        <w:t>[27]</w:t>
      </w:r>
      <w:r>
        <w:rPr>
          <w:rFonts w:cs="Arial"/>
          <w:szCs w:val="24"/>
        </w:rPr>
        <w:tab/>
      </w:r>
      <w:r w:rsidR="001C50A3" w:rsidRPr="00ED6FE1">
        <w:rPr>
          <w:rFonts w:cs="Arial"/>
        </w:rPr>
        <w:t xml:space="preserve">The term sheet concluded between Salicure and the defendant </w:t>
      </w:r>
      <w:r w:rsidR="00614619" w:rsidRPr="00ED6FE1">
        <w:rPr>
          <w:rFonts w:cs="Arial"/>
        </w:rPr>
        <w:t xml:space="preserve">to regulate the furnishing of funds by Salicure to the defendant </w:t>
      </w:r>
      <w:r w:rsidR="001C50A3" w:rsidRPr="00ED6FE1">
        <w:rPr>
          <w:rFonts w:cs="Arial"/>
        </w:rPr>
        <w:t>would not</w:t>
      </w:r>
      <w:r w:rsidR="00493994" w:rsidRPr="00ED6FE1">
        <w:rPr>
          <w:rFonts w:cs="Arial"/>
        </w:rPr>
        <w:t xml:space="preserve"> </w:t>
      </w:r>
      <w:r w:rsidR="001C50A3" w:rsidRPr="00ED6FE1">
        <w:rPr>
          <w:rFonts w:cs="Arial"/>
        </w:rPr>
        <w:t xml:space="preserve">be a “financial </w:t>
      </w:r>
      <w:r w:rsidR="001C50A3" w:rsidRPr="00ED6FE1">
        <w:rPr>
          <w:rFonts w:cs="Arial"/>
        </w:rPr>
        <w:lastRenderedPageBreak/>
        <w:t xml:space="preserve">product” as contemplated in the definition of that term in section 1 of the FAIS Act (quoted in paragraph </w:t>
      </w:r>
      <w:r w:rsidR="001C50A3" w:rsidRPr="00ED6FE1">
        <w:rPr>
          <w:rFonts w:cs="Arial"/>
        </w:rPr>
        <w:fldChar w:fldCharType="begin"/>
      </w:r>
      <w:r w:rsidR="001C50A3" w:rsidRPr="00ED6FE1">
        <w:rPr>
          <w:rFonts w:cs="Arial"/>
        </w:rPr>
        <w:instrText xml:space="preserve"> REF _Ref175233090 \r \h </w:instrText>
      </w:r>
      <w:r w:rsidR="001C50A3" w:rsidRPr="00ED6FE1">
        <w:rPr>
          <w:rFonts w:cs="Arial"/>
        </w:rPr>
        <w:fldChar w:fldCharType="separate"/>
      </w:r>
      <w:r w:rsidR="00FC2BB2" w:rsidRPr="00ED6FE1">
        <w:rPr>
          <w:rFonts w:cs="Arial"/>
        </w:rPr>
        <w:t>[20]</w:t>
      </w:r>
      <w:r w:rsidR="001C50A3" w:rsidRPr="00ED6FE1">
        <w:rPr>
          <w:rFonts w:cs="Arial"/>
        </w:rPr>
        <w:fldChar w:fldCharType="end"/>
      </w:r>
      <w:r w:rsidR="001C50A3" w:rsidRPr="00ED6FE1">
        <w:rPr>
          <w:rFonts w:cs="Arial"/>
        </w:rPr>
        <w:t xml:space="preserve"> above)</w:t>
      </w:r>
      <w:r w:rsidR="00A21EBF" w:rsidRPr="00ED6FE1">
        <w:rPr>
          <w:rFonts w:cs="Arial"/>
        </w:rPr>
        <w:t>, and the defendant understandably did not seek to contend otherwise</w:t>
      </w:r>
      <w:r w:rsidR="001C50A3" w:rsidRPr="00ED6FE1">
        <w:rPr>
          <w:rFonts w:cs="Arial"/>
        </w:rPr>
        <w:t>. Nor is a secured loan, as entered into between Salicure and the defendant, a “product”, whether financial or otherwise. It would instead be a credit agreement (albeit one</w:t>
      </w:r>
      <w:r w:rsidR="00614619" w:rsidRPr="00ED6FE1">
        <w:rPr>
          <w:rFonts w:cs="Arial"/>
        </w:rPr>
        <w:t xml:space="preserve"> which would not in this instance be</w:t>
      </w:r>
      <w:r w:rsidR="001C50A3" w:rsidRPr="00ED6FE1">
        <w:rPr>
          <w:rFonts w:cs="Arial"/>
        </w:rPr>
        <w:t xml:space="preserve"> covered by the National Credit Act, 34 of 2005 (</w:t>
      </w:r>
      <w:r w:rsidR="001C50A3" w:rsidRPr="00ED6FE1">
        <w:rPr>
          <w:rFonts w:cs="Arial"/>
          <w:b/>
          <w:bCs/>
        </w:rPr>
        <w:t>NCA</w:t>
      </w:r>
      <w:r w:rsidR="001C50A3" w:rsidRPr="00ED6FE1">
        <w:rPr>
          <w:rFonts w:cs="Arial"/>
        </w:rPr>
        <w:t xml:space="preserve">) as a result of the defendant being a juristic person and also presumably having a turnover exceeding the threshold in the NCA). </w:t>
      </w:r>
    </w:p>
    <w:p w14:paraId="1F57861C" w14:textId="0972AA81" w:rsidR="001C50A3" w:rsidRPr="00ED6FE1" w:rsidRDefault="00ED6FE1" w:rsidP="00ED6FE1">
      <w:pPr>
        <w:spacing w:after="480"/>
        <w:ind w:left="720" w:hanging="720"/>
        <w:rPr>
          <w:rFonts w:cs="Arial"/>
        </w:rPr>
      </w:pPr>
      <w:r>
        <w:rPr>
          <w:rFonts w:cs="Arial"/>
          <w:szCs w:val="24"/>
        </w:rPr>
        <w:t>[28]</w:t>
      </w:r>
      <w:r>
        <w:rPr>
          <w:rFonts w:cs="Arial"/>
          <w:szCs w:val="24"/>
        </w:rPr>
        <w:tab/>
      </w:r>
      <w:r w:rsidR="001C50A3" w:rsidRPr="00ED6FE1">
        <w:rPr>
          <w:rFonts w:cs="Arial"/>
        </w:rPr>
        <w:t>The</w:t>
      </w:r>
      <w:r w:rsidR="00493994" w:rsidRPr="00ED6FE1">
        <w:rPr>
          <w:rFonts w:cs="Arial"/>
        </w:rPr>
        <w:t xml:space="preserve"> </w:t>
      </w:r>
      <w:r w:rsidR="001C50A3" w:rsidRPr="00ED6FE1">
        <w:rPr>
          <w:rFonts w:cs="Arial"/>
        </w:rPr>
        <w:t>requirement</w:t>
      </w:r>
      <w:r w:rsidR="00493994" w:rsidRPr="00ED6FE1">
        <w:rPr>
          <w:rFonts w:cs="Arial"/>
        </w:rPr>
        <w:t>s</w:t>
      </w:r>
      <w:r w:rsidR="001C50A3" w:rsidRPr="00ED6FE1">
        <w:rPr>
          <w:rFonts w:cs="Arial"/>
        </w:rPr>
        <w:t xml:space="preserve"> of clause </w:t>
      </w:r>
      <w:r w:rsidR="001C50A3" w:rsidRPr="00ED6FE1">
        <w:rPr>
          <w:rFonts w:cs="Arial"/>
          <w:i/>
          <w:iCs/>
        </w:rPr>
        <w:t>(c)</w:t>
      </w:r>
      <w:r w:rsidR="001C50A3" w:rsidRPr="00ED6FE1">
        <w:rPr>
          <w:rFonts w:cs="Arial"/>
        </w:rPr>
        <w:t xml:space="preserve"> of the definition of “advice” </w:t>
      </w:r>
      <w:r w:rsidR="00493994" w:rsidRPr="00ED6FE1">
        <w:rPr>
          <w:rFonts w:cs="Arial"/>
        </w:rPr>
        <w:t>are</w:t>
      </w:r>
      <w:r w:rsidR="001C50A3" w:rsidRPr="00ED6FE1">
        <w:rPr>
          <w:rFonts w:cs="Arial"/>
        </w:rPr>
        <w:t xml:space="preserve"> therefore not </w:t>
      </w:r>
      <w:r w:rsidR="00493994" w:rsidRPr="00ED6FE1">
        <w:rPr>
          <w:rFonts w:cs="Arial"/>
        </w:rPr>
        <w:t>met in the present matter</w:t>
      </w:r>
      <w:r w:rsidR="001C50A3" w:rsidRPr="00ED6FE1">
        <w:rPr>
          <w:rFonts w:cs="Arial"/>
        </w:rPr>
        <w:t>.</w:t>
      </w:r>
    </w:p>
    <w:p w14:paraId="7E7E9A0D" w14:textId="597B49E0" w:rsidR="00930F8C" w:rsidRPr="00ED6FE1" w:rsidRDefault="00ED6FE1" w:rsidP="00ED6FE1">
      <w:pPr>
        <w:spacing w:after="300"/>
        <w:ind w:left="720" w:hanging="720"/>
        <w:rPr>
          <w:rFonts w:cs="Arial"/>
        </w:rPr>
      </w:pPr>
      <w:r w:rsidRPr="00493994">
        <w:rPr>
          <w:rFonts w:cs="Arial"/>
          <w:szCs w:val="24"/>
        </w:rPr>
        <w:t>[29]</w:t>
      </w:r>
      <w:r w:rsidRPr="00493994">
        <w:rPr>
          <w:rFonts w:cs="Arial"/>
          <w:szCs w:val="24"/>
        </w:rPr>
        <w:tab/>
      </w:r>
      <w:r w:rsidR="00493994" w:rsidRPr="00ED6FE1">
        <w:rPr>
          <w:rFonts w:cs="Arial"/>
          <w:i/>
          <w:iCs/>
        </w:rPr>
        <w:t>Secondly</w:t>
      </w:r>
      <w:r w:rsidR="00493994" w:rsidRPr="00ED6FE1">
        <w:rPr>
          <w:rFonts w:cs="Arial"/>
        </w:rPr>
        <w:t xml:space="preserve">, </w:t>
      </w:r>
      <w:r w:rsidR="001C50A3" w:rsidRPr="00ED6FE1">
        <w:rPr>
          <w:rFonts w:cs="Arial"/>
        </w:rPr>
        <w:t xml:space="preserve">in order for Van Dyk to have furnished “advice” as defined, he </w:t>
      </w:r>
      <w:r w:rsidR="00493994" w:rsidRPr="00ED6FE1">
        <w:rPr>
          <w:rFonts w:cs="Arial"/>
        </w:rPr>
        <w:t>would have had</w:t>
      </w:r>
      <w:r w:rsidR="001C50A3" w:rsidRPr="00ED6FE1">
        <w:rPr>
          <w:rFonts w:cs="Arial"/>
        </w:rPr>
        <w:t xml:space="preserve"> to have given a “recommendation, guidance or proposal of a financial nature” in relation to the financial product. </w:t>
      </w:r>
      <w:r w:rsidR="00930F8C" w:rsidRPr="00ED6FE1">
        <w:rPr>
          <w:rFonts w:cs="Arial"/>
        </w:rPr>
        <w:t>Even if one were to assume for the sake of argument that a loan agreement could be a financial product for purposes of the FAIS Act (which, as indicated, I do not believe to be the case), that requirement is not satisfied either.</w:t>
      </w:r>
    </w:p>
    <w:p w14:paraId="5CE4BF50" w14:textId="640CD95C" w:rsidR="00930F8C" w:rsidRPr="00ED6FE1" w:rsidRDefault="00ED6FE1" w:rsidP="00ED6FE1">
      <w:pPr>
        <w:spacing w:after="300"/>
        <w:ind w:left="1440" w:hanging="720"/>
        <w:rPr>
          <w:rFonts w:cs="Arial"/>
        </w:rPr>
      </w:pPr>
      <w:r>
        <w:rPr>
          <w:rFonts w:cs="Arial"/>
          <w:szCs w:val="24"/>
        </w:rPr>
        <w:t>29.1.</w:t>
      </w:r>
      <w:r>
        <w:rPr>
          <w:rFonts w:cs="Arial"/>
          <w:szCs w:val="24"/>
        </w:rPr>
        <w:tab/>
      </w:r>
      <w:r w:rsidR="00930F8C" w:rsidRPr="00ED6FE1">
        <w:rPr>
          <w:rFonts w:cs="Arial"/>
        </w:rPr>
        <w:t xml:space="preserve">Van Dyk’s mandate was, according to the particulars of claim, to refer and introduce the defendant to potential financiers so that it could obtain funds for its projects. Pursuant thereto, what Van Dyk did, according to the particulars, was to refer the defendant to, and provide </w:t>
      </w:r>
      <w:r w:rsidR="00444C62" w:rsidRPr="00ED6FE1">
        <w:rPr>
          <w:rFonts w:cs="Arial"/>
        </w:rPr>
        <w:t xml:space="preserve">it </w:t>
      </w:r>
      <w:r w:rsidR="00930F8C" w:rsidRPr="00ED6FE1">
        <w:rPr>
          <w:rFonts w:cs="Arial"/>
        </w:rPr>
        <w:t xml:space="preserve">with the contact details of, Credit Smith, and more particularly one of its investment analysts, Chris Davis, who then secured a funder. There is no suggestion in the particulars of claim that Van Dyk made any </w:t>
      </w:r>
      <w:r w:rsidR="00930F8C" w:rsidRPr="00ED6FE1">
        <w:rPr>
          <w:rFonts w:cs="Arial"/>
        </w:rPr>
        <w:lastRenderedPageBreak/>
        <w:t xml:space="preserve">recommendation or proposal </w:t>
      </w:r>
      <w:r w:rsidR="00E91542" w:rsidRPr="00ED6FE1">
        <w:rPr>
          <w:rFonts w:cs="Arial"/>
        </w:rPr>
        <w:t xml:space="preserve">to the defendant </w:t>
      </w:r>
      <w:r w:rsidR="00930F8C" w:rsidRPr="00ED6FE1">
        <w:rPr>
          <w:rFonts w:cs="Arial"/>
        </w:rPr>
        <w:t xml:space="preserve">about any kind of financing, or offered any opinion about how the defendant should raise money for its projects. </w:t>
      </w:r>
      <w:r w:rsidR="00B8323D" w:rsidRPr="00ED6FE1">
        <w:rPr>
          <w:rFonts w:cs="Arial"/>
        </w:rPr>
        <w:t xml:space="preserve">Nor was that his responsibility; his role was </w:t>
      </w:r>
      <w:r w:rsidR="00930F8C" w:rsidRPr="00ED6FE1">
        <w:rPr>
          <w:rFonts w:cs="Arial"/>
        </w:rPr>
        <w:t>as an intermediary or facilitator, connecting parties who might benefit from working together</w:t>
      </w:r>
      <w:r w:rsidR="00493994" w:rsidRPr="00ED6FE1">
        <w:rPr>
          <w:rFonts w:cs="Arial"/>
        </w:rPr>
        <w:t>.</w:t>
      </w:r>
      <w:r w:rsidR="00B8323D">
        <w:rPr>
          <w:rStyle w:val="FootnoteReference"/>
          <w:rFonts w:cs="Arial"/>
        </w:rPr>
        <w:footnoteReference w:id="11"/>
      </w:r>
      <w:r w:rsidR="00493994" w:rsidRPr="00ED6FE1">
        <w:rPr>
          <w:rFonts w:cs="Arial"/>
        </w:rPr>
        <w:t xml:space="preserve"> </w:t>
      </w:r>
      <w:r w:rsidR="00930F8C" w:rsidRPr="00ED6FE1">
        <w:rPr>
          <w:rFonts w:cs="Arial"/>
        </w:rPr>
        <w:t xml:space="preserve">Insofar as </w:t>
      </w:r>
      <w:r w:rsidR="00614619" w:rsidRPr="00ED6FE1">
        <w:rPr>
          <w:rFonts w:cs="Arial"/>
        </w:rPr>
        <w:t xml:space="preserve">the defendant was furnished with </w:t>
      </w:r>
      <w:r w:rsidR="00930F8C" w:rsidRPr="00ED6FE1">
        <w:rPr>
          <w:rFonts w:cs="Arial"/>
        </w:rPr>
        <w:t xml:space="preserve">advice </w:t>
      </w:r>
      <w:r w:rsidR="00614619" w:rsidRPr="00ED6FE1">
        <w:rPr>
          <w:rFonts w:cs="Arial"/>
        </w:rPr>
        <w:t>about a loan or other form of financing</w:t>
      </w:r>
      <w:r w:rsidR="00930F8C" w:rsidRPr="00ED6FE1">
        <w:rPr>
          <w:rFonts w:cs="Arial"/>
        </w:rPr>
        <w:t xml:space="preserve">, </w:t>
      </w:r>
      <w:r w:rsidR="00B8323D" w:rsidRPr="00ED6FE1">
        <w:rPr>
          <w:rFonts w:cs="Arial"/>
        </w:rPr>
        <w:t>this would, on the plaintiff’s case, have</w:t>
      </w:r>
      <w:r w:rsidR="00614619" w:rsidRPr="00ED6FE1">
        <w:rPr>
          <w:rFonts w:cs="Arial"/>
        </w:rPr>
        <w:t xml:space="preserve"> been done </w:t>
      </w:r>
      <w:r w:rsidR="00930F8C" w:rsidRPr="00ED6FE1">
        <w:rPr>
          <w:rFonts w:cs="Arial"/>
        </w:rPr>
        <w:t xml:space="preserve">by Davis </w:t>
      </w:r>
      <w:r w:rsidR="00B8323D" w:rsidRPr="00ED6FE1">
        <w:rPr>
          <w:rFonts w:cs="Arial"/>
        </w:rPr>
        <w:t>or the financiers</w:t>
      </w:r>
      <w:r w:rsidR="00930F8C" w:rsidRPr="00ED6FE1">
        <w:rPr>
          <w:rFonts w:cs="Arial"/>
        </w:rPr>
        <w:t>.</w:t>
      </w:r>
    </w:p>
    <w:p w14:paraId="321EF01A" w14:textId="092AD48D" w:rsidR="002D3159" w:rsidRPr="00ED6FE1" w:rsidRDefault="00ED6FE1" w:rsidP="00ED6FE1">
      <w:pPr>
        <w:spacing w:after="480"/>
        <w:ind w:left="1440" w:hanging="720"/>
        <w:rPr>
          <w:rFonts w:cs="Arial"/>
        </w:rPr>
      </w:pPr>
      <w:r w:rsidRPr="00D3501B">
        <w:rPr>
          <w:rFonts w:cs="Arial"/>
          <w:szCs w:val="24"/>
        </w:rPr>
        <w:t>29.2.</w:t>
      </w:r>
      <w:r w:rsidRPr="00D3501B">
        <w:rPr>
          <w:rFonts w:cs="Arial"/>
          <w:szCs w:val="24"/>
        </w:rPr>
        <w:tab/>
      </w:r>
      <w:r w:rsidR="00B8323D" w:rsidRPr="00ED6FE1">
        <w:rPr>
          <w:rFonts w:cs="Arial"/>
        </w:rPr>
        <w:t xml:space="preserve">Although the phrase “of a financial nature” </w:t>
      </w:r>
      <w:r w:rsidR="002D3159" w:rsidRPr="00ED6FE1">
        <w:rPr>
          <w:rFonts w:cs="Arial"/>
        </w:rPr>
        <w:t>is a wide and open-ended one,</w:t>
      </w:r>
      <w:r w:rsidR="00B8323D" w:rsidRPr="00ED6FE1">
        <w:rPr>
          <w:rFonts w:cs="Arial"/>
        </w:rPr>
        <w:t xml:space="preserve"> </w:t>
      </w:r>
      <w:r w:rsidR="002D3159" w:rsidRPr="00ED6FE1">
        <w:rPr>
          <w:rFonts w:cs="Arial"/>
        </w:rPr>
        <w:t>I do not think that, read in context, the words</w:t>
      </w:r>
      <w:r w:rsidR="00930F8C" w:rsidRPr="00ED6FE1">
        <w:rPr>
          <w:rFonts w:cs="Arial"/>
        </w:rPr>
        <w:t xml:space="preserve"> “a recommendation, guidance or proposal of a financial nature” </w:t>
      </w:r>
      <w:r w:rsidR="002D3159" w:rsidRPr="00ED6FE1">
        <w:rPr>
          <w:rFonts w:cs="Arial"/>
        </w:rPr>
        <w:t>were intended to</w:t>
      </w:r>
      <w:r w:rsidR="00930F8C" w:rsidRPr="00ED6FE1">
        <w:rPr>
          <w:rFonts w:cs="Arial"/>
        </w:rPr>
        <w:t xml:space="preserve"> encompass </w:t>
      </w:r>
      <w:r w:rsidR="002D3159" w:rsidRPr="00ED6FE1">
        <w:rPr>
          <w:rFonts w:cs="Arial"/>
        </w:rPr>
        <w:t xml:space="preserve">a situation in which a person recommended an investment analyst </w:t>
      </w:r>
      <w:r w:rsidR="00E91542" w:rsidRPr="00ED6FE1">
        <w:rPr>
          <w:rFonts w:cs="Arial"/>
        </w:rPr>
        <w:t>to</w:t>
      </w:r>
      <w:r w:rsidR="002D3159" w:rsidRPr="00ED6FE1">
        <w:rPr>
          <w:rFonts w:cs="Arial"/>
        </w:rPr>
        <w:t xml:space="preserve"> engage with a client about potential financing and financiers. This is borne out by the exclusion in subsection 1(3)(</w:t>
      </w:r>
      <w:r w:rsidR="002D3159" w:rsidRPr="00ED6FE1">
        <w:rPr>
          <w:rFonts w:cs="Arial"/>
          <w:i/>
          <w:iCs/>
        </w:rPr>
        <w:t>a</w:t>
      </w:r>
      <w:r w:rsidR="002D3159" w:rsidRPr="00ED6FE1">
        <w:rPr>
          <w:rFonts w:cs="Arial"/>
        </w:rPr>
        <w:t>), which provides that “advice” for the purposes of the FAIS Act does not include, among other things, “factual advice given merely … (aa) </w:t>
      </w:r>
      <w:r w:rsidR="002D3159" w:rsidRPr="00ED6FE1">
        <w:rPr>
          <w:lang w:val="en-US"/>
        </w:rPr>
        <w:t>on the procedure for entering into a transaction in respect of any financial product; (bb) in relation to the description of a financial product; (cc) in answer to routine administrative queries; (dd) in the form of objective information about a particular financial product; or (ee) by the display or distribution of promotional material”. If that kind of factual advice is excluded from the definition of “advice”</w:t>
      </w:r>
      <w:r w:rsidR="00E91542" w:rsidRPr="00ED6FE1">
        <w:rPr>
          <w:lang w:val="en-US"/>
        </w:rPr>
        <w:t xml:space="preserve"> in the FAIS Act</w:t>
      </w:r>
      <w:r w:rsidR="002D3159" w:rsidRPr="00ED6FE1">
        <w:rPr>
          <w:lang w:val="en-US"/>
        </w:rPr>
        <w:t xml:space="preserve">, </w:t>
      </w:r>
      <w:r w:rsidR="00E91542" w:rsidRPr="00ED6FE1">
        <w:rPr>
          <w:lang w:val="en-US"/>
        </w:rPr>
        <w:t xml:space="preserve">it cannot reasonably be </w:t>
      </w:r>
      <w:r w:rsidR="00E91542" w:rsidRPr="00ED6FE1">
        <w:rPr>
          <w:lang w:val="en-US"/>
        </w:rPr>
        <w:lastRenderedPageBreak/>
        <w:t xml:space="preserve">contended that </w:t>
      </w:r>
      <w:r w:rsidR="002D3159" w:rsidRPr="00ED6FE1">
        <w:rPr>
          <w:lang w:val="en-US"/>
        </w:rPr>
        <w:t>advice for which an authorisation is needed</w:t>
      </w:r>
      <w:r w:rsidR="00D3501B" w:rsidRPr="00ED6FE1">
        <w:rPr>
          <w:lang w:val="en-US"/>
        </w:rPr>
        <w:t xml:space="preserve"> under the Act</w:t>
      </w:r>
      <w:r w:rsidR="002D3159" w:rsidRPr="00ED6FE1">
        <w:rPr>
          <w:lang w:val="en-US"/>
        </w:rPr>
        <w:t xml:space="preserve"> </w:t>
      </w:r>
      <w:r w:rsidR="00E91542" w:rsidRPr="00ED6FE1">
        <w:rPr>
          <w:lang w:val="en-US"/>
        </w:rPr>
        <w:t xml:space="preserve">would </w:t>
      </w:r>
      <w:r w:rsidR="002D3159" w:rsidRPr="00ED6FE1">
        <w:rPr>
          <w:lang w:val="en-US"/>
        </w:rPr>
        <w:t>include a</w:t>
      </w:r>
      <w:r w:rsidR="00D3501B" w:rsidRPr="00ED6FE1">
        <w:rPr>
          <w:lang w:val="en-US"/>
        </w:rPr>
        <w:t>n</w:t>
      </w:r>
      <w:r w:rsidR="002D3159" w:rsidRPr="00ED6FE1">
        <w:rPr>
          <w:lang w:val="en-US"/>
        </w:rPr>
        <w:t xml:space="preserve"> introduction to, or referral of, an </w:t>
      </w:r>
      <w:r w:rsidR="00D3501B" w:rsidRPr="00ED6FE1">
        <w:rPr>
          <w:lang w:val="en-US"/>
        </w:rPr>
        <w:t>investment analyst who could then, in turn, discuss financing with the client.</w:t>
      </w:r>
      <w:r w:rsidR="00E91542" w:rsidRPr="00ED6FE1">
        <w:rPr>
          <w:rStyle w:val="FootnoteReference"/>
          <w:rFonts w:cs="Arial"/>
        </w:rPr>
        <w:t xml:space="preserve"> </w:t>
      </w:r>
      <w:r w:rsidR="00E91542">
        <w:rPr>
          <w:rStyle w:val="FootnoteReference"/>
          <w:rFonts w:cs="Arial"/>
        </w:rPr>
        <w:footnoteReference w:id="12"/>
      </w:r>
    </w:p>
    <w:p w14:paraId="1B73B727" w14:textId="2604F45B" w:rsidR="007E29A7" w:rsidRPr="00ED6FE1" w:rsidRDefault="00ED6FE1" w:rsidP="00ED6FE1">
      <w:pPr>
        <w:spacing w:after="480"/>
        <w:ind w:left="720" w:hanging="720"/>
        <w:rPr>
          <w:rFonts w:cs="Arial"/>
        </w:rPr>
      </w:pPr>
      <w:r>
        <w:rPr>
          <w:rFonts w:cs="Arial"/>
          <w:szCs w:val="24"/>
        </w:rPr>
        <w:t>[30]</w:t>
      </w:r>
      <w:r>
        <w:rPr>
          <w:rFonts w:cs="Arial"/>
          <w:szCs w:val="24"/>
        </w:rPr>
        <w:tab/>
      </w:r>
      <w:r w:rsidR="007E29A7" w:rsidRPr="00ED6FE1">
        <w:rPr>
          <w:rFonts w:cs="Arial"/>
        </w:rPr>
        <w:t xml:space="preserve">The defendant’s vague and unparticularised </w:t>
      </w:r>
      <w:r w:rsidR="007C41FA" w:rsidRPr="00ED6FE1">
        <w:rPr>
          <w:rFonts w:cs="Arial"/>
        </w:rPr>
        <w:t xml:space="preserve">alternative </w:t>
      </w:r>
      <w:r w:rsidR="007E29A7" w:rsidRPr="00ED6FE1">
        <w:rPr>
          <w:rFonts w:cs="Arial"/>
        </w:rPr>
        <w:t>allegation</w:t>
      </w:r>
      <w:r w:rsidR="007C41FA" w:rsidRPr="00ED6FE1">
        <w:rPr>
          <w:rFonts w:cs="Arial"/>
        </w:rPr>
        <w:t xml:space="preserve"> </w:t>
      </w:r>
      <w:r w:rsidR="007E29A7" w:rsidRPr="00ED6FE1">
        <w:rPr>
          <w:rFonts w:cs="Arial"/>
        </w:rPr>
        <w:t xml:space="preserve">that </w:t>
      </w:r>
      <w:r w:rsidR="005E3AC6" w:rsidRPr="00ED6FE1">
        <w:rPr>
          <w:rFonts w:cs="Arial"/>
        </w:rPr>
        <w:t>Van Dyk rendered an intermediary service must be rejected as well</w:t>
      </w:r>
      <w:r w:rsidR="00AC2389" w:rsidRPr="00ED6FE1">
        <w:rPr>
          <w:rFonts w:cs="Arial"/>
        </w:rPr>
        <w:t>; and was understandably not pursued by defendant’s counsel in argument</w:t>
      </w:r>
      <w:r w:rsidR="005E3AC6" w:rsidRPr="00ED6FE1">
        <w:rPr>
          <w:rFonts w:cs="Arial"/>
        </w:rPr>
        <w:t xml:space="preserve">. </w:t>
      </w:r>
      <w:r w:rsidR="00AC2389" w:rsidRPr="00ED6FE1">
        <w:rPr>
          <w:rFonts w:cs="Arial"/>
        </w:rPr>
        <w:t>As noted</w:t>
      </w:r>
      <w:r w:rsidR="005E3AC6" w:rsidRPr="00ED6FE1">
        <w:rPr>
          <w:rFonts w:cs="Arial"/>
        </w:rPr>
        <w:t xml:space="preserve"> in paragraph </w:t>
      </w:r>
      <w:r w:rsidR="0076637C" w:rsidRPr="00ED6FE1">
        <w:rPr>
          <w:rFonts w:cs="Arial"/>
        </w:rPr>
        <w:fldChar w:fldCharType="begin"/>
      </w:r>
      <w:r w:rsidR="0076637C" w:rsidRPr="00ED6FE1">
        <w:rPr>
          <w:rFonts w:cs="Arial"/>
        </w:rPr>
        <w:instrText xml:space="preserve"> REF _Ref175233090 \r \h </w:instrText>
      </w:r>
      <w:r w:rsidR="0076637C" w:rsidRPr="00ED6FE1">
        <w:rPr>
          <w:rFonts w:cs="Arial"/>
        </w:rPr>
        <w:fldChar w:fldCharType="separate"/>
      </w:r>
      <w:r w:rsidR="00FC2BB2" w:rsidRPr="00ED6FE1">
        <w:rPr>
          <w:rFonts w:cs="Arial"/>
        </w:rPr>
        <w:t>[20]</w:t>
      </w:r>
      <w:r w:rsidR="0076637C" w:rsidRPr="00ED6FE1">
        <w:rPr>
          <w:rFonts w:cs="Arial"/>
        </w:rPr>
        <w:fldChar w:fldCharType="end"/>
      </w:r>
      <w:r w:rsidR="0076637C" w:rsidRPr="00ED6FE1">
        <w:rPr>
          <w:rFonts w:cs="Arial"/>
        </w:rPr>
        <w:t xml:space="preserve"> </w:t>
      </w:r>
      <w:r w:rsidR="00AC2389" w:rsidRPr="00ED6FE1">
        <w:rPr>
          <w:rFonts w:cs="Arial"/>
        </w:rPr>
        <w:t>above</w:t>
      </w:r>
      <w:r w:rsidR="005E3AC6" w:rsidRPr="00ED6FE1">
        <w:rPr>
          <w:rFonts w:cs="Arial"/>
        </w:rPr>
        <w:t>,</w:t>
      </w:r>
      <w:r w:rsidR="0076637C" w:rsidRPr="00ED6FE1">
        <w:rPr>
          <w:rFonts w:cs="Arial"/>
        </w:rPr>
        <w:t xml:space="preserve"> with reference to the definition quoted in paragraph </w:t>
      </w:r>
      <w:r w:rsidR="0076637C" w:rsidRPr="00ED6FE1">
        <w:rPr>
          <w:rFonts w:cs="Arial"/>
        </w:rPr>
        <w:fldChar w:fldCharType="begin"/>
      </w:r>
      <w:r w:rsidR="0076637C" w:rsidRPr="00ED6FE1">
        <w:rPr>
          <w:rFonts w:cs="Arial"/>
        </w:rPr>
        <w:instrText xml:space="preserve"> REF _Ref175307993 \r \h </w:instrText>
      </w:r>
      <w:r w:rsidR="0076637C" w:rsidRPr="00ED6FE1">
        <w:rPr>
          <w:rFonts w:cs="Arial"/>
        </w:rPr>
        <w:fldChar w:fldCharType="separate"/>
      </w:r>
      <w:r w:rsidR="00FC2BB2" w:rsidRPr="00ED6FE1">
        <w:rPr>
          <w:rFonts w:cs="Arial"/>
        </w:rPr>
        <w:t>[19]</w:t>
      </w:r>
      <w:r w:rsidR="0076637C" w:rsidRPr="00ED6FE1">
        <w:rPr>
          <w:rFonts w:cs="Arial"/>
        </w:rPr>
        <w:fldChar w:fldCharType="end"/>
      </w:r>
      <w:r w:rsidR="0076637C" w:rsidRPr="00ED6FE1">
        <w:rPr>
          <w:rFonts w:cs="Arial"/>
        </w:rPr>
        <w:t>,</w:t>
      </w:r>
      <w:r w:rsidR="005E3AC6" w:rsidRPr="00ED6FE1">
        <w:rPr>
          <w:rFonts w:cs="Arial"/>
        </w:rPr>
        <w:t xml:space="preserve"> an “intermediary service” pertains to a </w:t>
      </w:r>
      <w:r w:rsidR="005E3AC6" w:rsidRPr="00ED6FE1">
        <w:rPr>
          <w:rFonts w:cs="Arial"/>
          <w:u w:val="single"/>
        </w:rPr>
        <w:t>financial product</w:t>
      </w:r>
      <w:r w:rsidR="005E3AC6" w:rsidRPr="00ED6FE1">
        <w:rPr>
          <w:rFonts w:cs="Arial"/>
        </w:rPr>
        <w:t xml:space="preserve">; and as </w:t>
      </w:r>
      <w:r w:rsidR="00E91542" w:rsidRPr="00ED6FE1">
        <w:rPr>
          <w:rFonts w:cs="Arial"/>
        </w:rPr>
        <w:t>has already been discussed</w:t>
      </w:r>
      <w:r w:rsidR="005E3AC6" w:rsidRPr="00ED6FE1">
        <w:rPr>
          <w:rFonts w:cs="Arial"/>
        </w:rPr>
        <w:t>, the term sheet which was concluded between the defendant and Salicure</w:t>
      </w:r>
      <w:r w:rsidR="0076637C" w:rsidRPr="00ED6FE1">
        <w:rPr>
          <w:rFonts w:cs="Arial"/>
        </w:rPr>
        <w:t>, to record the loan agreement between those parties,</w:t>
      </w:r>
      <w:r w:rsidR="005E3AC6" w:rsidRPr="00ED6FE1">
        <w:rPr>
          <w:rFonts w:cs="Arial"/>
        </w:rPr>
        <w:t xml:space="preserve"> does not qualify as such.</w:t>
      </w:r>
    </w:p>
    <w:p w14:paraId="0FAEFF4B" w14:textId="0BE1F729" w:rsidR="00BB410C" w:rsidRPr="00ED6FE1" w:rsidRDefault="00ED6FE1" w:rsidP="00ED6FE1">
      <w:pPr>
        <w:spacing w:after="300"/>
        <w:ind w:left="720" w:hanging="720"/>
        <w:rPr>
          <w:rFonts w:cs="Arial"/>
        </w:rPr>
      </w:pPr>
      <w:r>
        <w:rPr>
          <w:rFonts w:cs="Arial"/>
          <w:szCs w:val="24"/>
        </w:rPr>
        <w:t>[31]</w:t>
      </w:r>
      <w:r>
        <w:rPr>
          <w:rFonts w:cs="Arial"/>
          <w:szCs w:val="24"/>
        </w:rPr>
        <w:tab/>
      </w:r>
      <w:r w:rsidR="000C4C97" w:rsidRPr="00ED6FE1">
        <w:rPr>
          <w:rFonts w:cs="Arial"/>
        </w:rPr>
        <w:t xml:space="preserve">The case of </w:t>
      </w:r>
      <w:r w:rsidR="000C4C97" w:rsidRPr="00ED6FE1">
        <w:rPr>
          <w:rFonts w:cs="Arial"/>
          <w:i/>
          <w:iCs/>
        </w:rPr>
        <w:t>Atwealth</w:t>
      </w:r>
      <w:r w:rsidR="000C4C97" w:rsidRPr="00ED6FE1">
        <w:rPr>
          <w:rFonts w:cs="Arial"/>
        </w:rPr>
        <w:t>,</w:t>
      </w:r>
      <w:r w:rsidR="000C4C97">
        <w:rPr>
          <w:rStyle w:val="FootnoteReference"/>
          <w:rFonts w:cs="Arial"/>
        </w:rPr>
        <w:footnoteReference w:id="13"/>
      </w:r>
      <w:r w:rsidR="000C4C97" w:rsidRPr="00ED6FE1">
        <w:rPr>
          <w:rFonts w:cs="Arial"/>
        </w:rPr>
        <w:t xml:space="preserve"> on which the defendant relie</w:t>
      </w:r>
      <w:r w:rsidR="0076637C" w:rsidRPr="00ED6FE1">
        <w:rPr>
          <w:rFonts w:cs="Arial"/>
        </w:rPr>
        <w:t>d in its heads of argument</w:t>
      </w:r>
      <w:r w:rsidR="000C4C97" w:rsidRPr="00ED6FE1">
        <w:rPr>
          <w:rFonts w:cs="Arial"/>
        </w:rPr>
        <w:t xml:space="preserve">, </w:t>
      </w:r>
      <w:r w:rsidR="00E91542" w:rsidRPr="00ED6FE1">
        <w:rPr>
          <w:rFonts w:cs="Arial"/>
        </w:rPr>
        <w:t xml:space="preserve">does not warrant a contrary conclusion. It </w:t>
      </w:r>
      <w:r w:rsidR="000C4C97" w:rsidRPr="00ED6FE1">
        <w:rPr>
          <w:rFonts w:cs="Arial"/>
        </w:rPr>
        <w:t xml:space="preserve">is </w:t>
      </w:r>
      <w:r w:rsidR="00930F8C" w:rsidRPr="00ED6FE1">
        <w:rPr>
          <w:rFonts w:cs="Arial"/>
        </w:rPr>
        <w:t>clearly distinguishable</w:t>
      </w:r>
      <w:r w:rsidR="00E91542" w:rsidRPr="00ED6FE1">
        <w:rPr>
          <w:rFonts w:cs="Arial"/>
        </w:rPr>
        <w:t xml:space="preserve"> on the facts</w:t>
      </w:r>
      <w:r w:rsidR="0076637C" w:rsidRPr="00ED6FE1">
        <w:rPr>
          <w:rFonts w:cs="Arial"/>
        </w:rPr>
        <w:t xml:space="preserve">, and </w:t>
      </w:r>
      <w:r w:rsidR="00E91542" w:rsidRPr="00ED6FE1">
        <w:rPr>
          <w:rFonts w:cs="Arial"/>
        </w:rPr>
        <w:t xml:space="preserve">so </w:t>
      </w:r>
      <w:r w:rsidR="0076637C" w:rsidRPr="00ED6FE1">
        <w:rPr>
          <w:rFonts w:cs="Arial"/>
        </w:rPr>
        <w:t xml:space="preserve">was correctly not pressed in argument. </w:t>
      </w:r>
    </w:p>
    <w:p w14:paraId="200718B0" w14:textId="40BCE331" w:rsidR="00BB410C" w:rsidRPr="00ED6FE1" w:rsidRDefault="00ED6FE1" w:rsidP="00ED6FE1">
      <w:pPr>
        <w:spacing w:after="240"/>
        <w:ind w:left="720" w:hanging="720"/>
        <w:rPr>
          <w:rFonts w:cs="Arial"/>
        </w:rPr>
      </w:pPr>
      <w:r>
        <w:rPr>
          <w:rFonts w:cs="Arial"/>
          <w:szCs w:val="24"/>
        </w:rPr>
        <w:lastRenderedPageBreak/>
        <w:t>[32]</w:t>
      </w:r>
      <w:r>
        <w:rPr>
          <w:rFonts w:cs="Arial"/>
          <w:szCs w:val="24"/>
        </w:rPr>
        <w:tab/>
      </w:r>
      <w:r w:rsidR="0076637C" w:rsidRPr="00ED6FE1">
        <w:rPr>
          <w:rFonts w:cs="Arial"/>
        </w:rPr>
        <w:t xml:space="preserve">The differences between </w:t>
      </w:r>
      <w:r w:rsidR="00E91542" w:rsidRPr="00ED6FE1">
        <w:rPr>
          <w:rFonts w:cs="Arial"/>
          <w:i/>
          <w:iCs/>
        </w:rPr>
        <w:t>Atwealth</w:t>
      </w:r>
      <w:r w:rsidR="0076637C" w:rsidRPr="00ED6FE1">
        <w:rPr>
          <w:rFonts w:cs="Arial"/>
        </w:rPr>
        <w:t xml:space="preserve"> and the present </w:t>
      </w:r>
      <w:r w:rsidR="00E91542" w:rsidRPr="00ED6FE1">
        <w:rPr>
          <w:rFonts w:cs="Arial"/>
        </w:rPr>
        <w:t>case</w:t>
      </w:r>
      <w:r w:rsidR="0076637C" w:rsidRPr="00ED6FE1">
        <w:rPr>
          <w:rFonts w:cs="Arial"/>
        </w:rPr>
        <w:t xml:space="preserve"> are readily apparent from the </w:t>
      </w:r>
      <w:r w:rsidR="00BB410C" w:rsidRPr="00ED6FE1">
        <w:rPr>
          <w:rFonts w:cs="Arial"/>
        </w:rPr>
        <w:t>opening paragraphs of the Supreme Court of Appeal’s judgment, where Davis AJA noted the following:</w:t>
      </w:r>
    </w:p>
    <w:p w14:paraId="70410CC1" w14:textId="07309CC2" w:rsidR="00BB410C" w:rsidRPr="00E83343" w:rsidRDefault="00C05739" w:rsidP="00BB410C">
      <w:pPr>
        <w:pStyle w:val="ListParagraph"/>
        <w:numPr>
          <w:ilvl w:val="0"/>
          <w:numId w:val="0"/>
        </w:numPr>
        <w:spacing w:after="120" w:line="360" w:lineRule="auto"/>
        <w:ind w:left="1418"/>
        <w:rPr>
          <w:i/>
          <w:iCs/>
          <w:sz w:val="22"/>
          <w:szCs w:val="22"/>
        </w:rPr>
      </w:pPr>
      <w:r>
        <w:rPr>
          <w:i/>
          <w:iCs/>
          <w:sz w:val="22"/>
          <w:szCs w:val="22"/>
        </w:rPr>
        <w:t>‘</w:t>
      </w:r>
      <w:r w:rsidR="00BB410C" w:rsidRPr="00E83343">
        <w:rPr>
          <w:i/>
          <w:iCs/>
          <w:sz w:val="22"/>
          <w:szCs w:val="22"/>
        </w:rPr>
        <w:t>[2] … During the period 2009 – 2010 second appellant, Ms Moolman, rendered financial advice to [the Kernicks] in the course and scope of her employment with first appellant (Atwealth) and thereafter in 2011 with third appellant (Vaidro). The Kernicks contended that the advice given by Ms Moolman was to invest their funds in certain investment products offered by the Relative Value Arbitrage Fund (RVAF) and associated products, and MAT Abante UK Relative Value Arbitrage Fund and MAT Worldwide Ltd (the investment companies), of which MAT Securities (Pty) Ltd was the fund manager. This range of potential investments was said to fall under an entity referred to as Abante Capital.</w:t>
      </w:r>
    </w:p>
    <w:p w14:paraId="0A933630" w14:textId="575CF4CC" w:rsidR="00BB410C" w:rsidRPr="00E83343" w:rsidRDefault="00BB410C" w:rsidP="00BB410C">
      <w:pPr>
        <w:pStyle w:val="ListParagraph"/>
        <w:numPr>
          <w:ilvl w:val="0"/>
          <w:numId w:val="0"/>
        </w:numPr>
        <w:spacing w:after="120" w:line="360" w:lineRule="auto"/>
        <w:ind w:left="1418"/>
        <w:rPr>
          <w:i/>
          <w:iCs/>
          <w:sz w:val="22"/>
          <w:szCs w:val="22"/>
        </w:rPr>
      </w:pPr>
      <w:r w:rsidRPr="00E83343">
        <w:rPr>
          <w:i/>
          <w:iCs/>
          <w:sz w:val="22"/>
          <w:szCs w:val="22"/>
        </w:rPr>
        <w:t>[3] The Kernicks further contended that they were assured by Ms Moolman that these investment companies generated higher returns through legitimate investment vehicles than was the case with alternative financial products. It was common cause that this did not prove to be the case.  Mr and Mrs Kernick made the following investments:</w:t>
      </w:r>
    </w:p>
    <w:p w14:paraId="4C927C78" w14:textId="77777777" w:rsidR="00BB410C" w:rsidRPr="00E83343" w:rsidRDefault="00BB410C" w:rsidP="00E91542">
      <w:pPr>
        <w:pStyle w:val="ListParagraph"/>
        <w:keepNext/>
        <w:numPr>
          <w:ilvl w:val="0"/>
          <w:numId w:val="0"/>
        </w:numPr>
        <w:spacing w:after="60" w:line="360" w:lineRule="auto"/>
        <w:ind w:left="1418"/>
        <w:rPr>
          <w:b/>
          <w:bCs/>
          <w:i/>
          <w:iCs/>
          <w:sz w:val="22"/>
          <w:szCs w:val="22"/>
        </w:rPr>
      </w:pPr>
      <w:r w:rsidRPr="00E83343">
        <w:rPr>
          <w:b/>
          <w:bCs/>
          <w:i/>
          <w:iCs/>
          <w:sz w:val="22"/>
          <w:szCs w:val="22"/>
        </w:rPr>
        <w:t xml:space="preserve">Date of investment </w:t>
      </w:r>
      <w:r w:rsidRPr="00E83343">
        <w:rPr>
          <w:b/>
          <w:bCs/>
          <w:i/>
          <w:iCs/>
          <w:sz w:val="22"/>
          <w:szCs w:val="22"/>
        </w:rPr>
        <w:tab/>
        <w:t xml:space="preserve">Amount </w:t>
      </w:r>
      <w:r w:rsidRPr="00E83343">
        <w:rPr>
          <w:b/>
          <w:bCs/>
          <w:i/>
          <w:iCs/>
          <w:sz w:val="22"/>
          <w:szCs w:val="22"/>
        </w:rPr>
        <w:tab/>
        <w:t>Investment company</w:t>
      </w:r>
    </w:p>
    <w:p w14:paraId="2ABDE7CE" w14:textId="4F1FAD54" w:rsidR="00BB410C" w:rsidRPr="00E83343" w:rsidRDefault="00BB410C" w:rsidP="00E91542">
      <w:pPr>
        <w:pStyle w:val="ListParagraph"/>
        <w:numPr>
          <w:ilvl w:val="0"/>
          <w:numId w:val="0"/>
        </w:numPr>
        <w:spacing w:after="60" w:line="360" w:lineRule="auto"/>
        <w:ind w:left="1418"/>
        <w:rPr>
          <w:i/>
          <w:iCs/>
          <w:sz w:val="22"/>
          <w:szCs w:val="22"/>
        </w:rPr>
      </w:pPr>
      <w:r w:rsidRPr="00E83343">
        <w:rPr>
          <w:i/>
          <w:iCs/>
          <w:sz w:val="22"/>
          <w:szCs w:val="22"/>
        </w:rPr>
        <w:t xml:space="preserve">20/01/2010 </w:t>
      </w:r>
      <w:r w:rsidRPr="00E83343">
        <w:rPr>
          <w:i/>
          <w:iCs/>
          <w:sz w:val="22"/>
          <w:szCs w:val="22"/>
        </w:rPr>
        <w:tab/>
      </w:r>
      <w:r w:rsidRPr="00E83343">
        <w:rPr>
          <w:i/>
          <w:iCs/>
          <w:sz w:val="22"/>
          <w:szCs w:val="22"/>
        </w:rPr>
        <w:tab/>
        <w:t>£100 000</w:t>
      </w:r>
      <w:r w:rsidRPr="00E83343">
        <w:rPr>
          <w:i/>
          <w:iCs/>
          <w:sz w:val="22"/>
          <w:szCs w:val="22"/>
        </w:rPr>
        <w:tab/>
        <w:t xml:space="preserve">MAT Worldwide </w:t>
      </w:r>
    </w:p>
    <w:p w14:paraId="52728601" w14:textId="0D494743" w:rsidR="00BB410C" w:rsidRPr="00E83343" w:rsidRDefault="00BB410C" w:rsidP="00E91542">
      <w:pPr>
        <w:pStyle w:val="ListParagraph"/>
        <w:numPr>
          <w:ilvl w:val="0"/>
          <w:numId w:val="0"/>
        </w:numPr>
        <w:spacing w:after="60" w:line="360" w:lineRule="auto"/>
        <w:ind w:left="1418"/>
        <w:rPr>
          <w:i/>
          <w:iCs/>
          <w:sz w:val="22"/>
          <w:szCs w:val="22"/>
        </w:rPr>
      </w:pPr>
      <w:r w:rsidRPr="00E83343">
        <w:rPr>
          <w:i/>
          <w:iCs/>
          <w:sz w:val="22"/>
          <w:szCs w:val="22"/>
        </w:rPr>
        <w:t xml:space="preserve">01/08/2010 </w:t>
      </w:r>
      <w:r w:rsidRPr="00E83343">
        <w:rPr>
          <w:i/>
          <w:iCs/>
          <w:sz w:val="22"/>
          <w:szCs w:val="22"/>
        </w:rPr>
        <w:tab/>
      </w:r>
      <w:r w:rsidRPr="00E83343">
        <w:rPr>
          <w:i/>
          <w:iCs/>
          <w:sz w:val="22"/>
          <w:szCs w:val="22"/>
        </w:rPr>
        <w:tab/>
        <w:t xml:space="preserve">£70 000 </w:t>
      </w:r>
      <w:r w:rsidRPr="00E83343">
        <w:rPr>
          <w:i/>
          <w:iCs/>
          <w:sz w:val="22"/>
          <w:szCs w:val="22"/>
        </w:rPr>
        <w:tab/>
        <w:t xml:space="preserve">MAT Worldwide </w:t>
      </w:r>
    </w:p>
    <w:p w14:paraId="0E8BA8BC" w14:textId="4F3F7D5A" w:rsidR="00BB410C" w:rsidRPr="00E83343" w:rsidRDefault="00BB410C" w:rsidP="00E91542">
      <w:pPr>
        <w:pStyle w:val="ListParagraph"/>
        <w:numPr>
          <w:ilvl w:val="0"/>
          <w:numId w:val="0"/>
        </w:numPr>
        <w:spacing w:after="60" w:line="360" w:lineRule="auto"/>
        <w:ind w:left="1418"/>
        <w:rPr>
          <w:i/>
          <w:iCs/>
          <w:sz w:val="22"/>
          <w:szCs w:val="22"/>
        </w:rPr>
      </w:pPr>
      <w:r w:rsidRPr="00E83343">
        <w:rPr>
          <w:i/>
          <w:iCs/>
          <w:sz w:val="22"/>
          <w:szCs w:val="22"/>
        </w:rPr>
        <w:t xml:space="preserve">01/07/2011 </w:t>
      </w:r>
      <w:r w:rsidRPr="00E83343">
        <w:rPr>
          <w:i/>
          <w:iCs/>
          <w:sz w:val="22"/>
          <w:szCs w:val="22"/>
        </w:rPr>
        <w:tab/>
      </w:r>
      <w:r w:rsidRPr="00E83343">
        <w:rPr>
          <w:i/>
          <w:iCs/>
          <w:sz w:val="22"/>
          <w:szCs w:val="22"/>
        </w:rPr>
        <w:tab/>
        <w:t xml:space="preserve">£45 000 </w:t>
      </w:r>
      <w:r w:rsidRPr="00E83343">
        <w:rPr>
          <w:i/>
          <w:iCs/>
          <w:sz w:val="22"/>
          <w:szCs w:val="22"/>
        </w:rPr>
        <w:tab/>
        <w:t xml:space="preserve">MAT Worldwide </w:t>
      </w:r>
    </w:p>
    <w:p w14:paraId="1ED4FC01" w14:textId="51B8BF62" w:rsidR="00BB410C" w:rsidRPr="00E83343" w:rsidRDefault="00BB410C" w:rsidP="00E91542">
      <w:pPr>
        <w:pStyle w:val="ListParagraph"/>
        <w:numPr>
          <w:ilvl w:val="0"/>
          <w:numId w:val="0"/>
        </w:numPr>
        <w:spacing w:after="60" w:line="360" w:lineRule="auto"/>
        <w:ind w:left="1418"/>
        <w:rPr>
          <w:i/>
          <w:iCs/>
          <w:sz w:val="22"/>
          <w:szCs w:val="22"/>
        </w:rPr>
      </w:pPr>
      <w:r w:rsidRPr="00E83343">
        <w:rPr>
          <w:i/>
          <w:iCs/>
          <w:sz w:val="22"/>
          <w:szCs w:val="22"/>
        </w:rPr>
        <w:t xml:space="preserve">28/10/2011 </w:t>
      </w:r>
      <w:r w:rsidRPr="00E83343">
        <w:rPr>
          <w:i/>
          <w:iCs/>
          <w:sz w:val="22"/>
          <w:szCs w:val="22"/>
        </w:rPr>
        <w:tab/>
      </w:r>
      <w:r w:rsidRPr="00E83343">
        <w:rPr>
          <w:i/>
          <w:iCs/>
          <w:sz w:val="22"/>
          <w:szCs w:val="22"/>
        </w:rPr>
        <w:tab/>
        <w:t>R700 000</w:t>
      </w:r>
      <w:r w:rsidRPr="00E83343">
        <w:rPr>
          <w:i/>
          <w:iCs/>
          <w:sz w:val="22"/>
          <w:szCs w:val="22"/>
        </w:rPr>
        <w:tab/>
        <w:t xml:space="preserve">RVAF </w:t>
      </w:r>
      <w:r w:rsidRPr="00E83343">
        <w:rPr>
          <w:i/>
          <w:iCs/>
          <w:sz w:val="22"/>
          <w:szCs w:val="22"/>
        </w:rPr>
        <w:tab/>
      </w:r>
    </w:p>
    <w:p w14:paraId="6BD485AE" w14:textId="3792FCB3" w:rsidR="00BB410C" w:rsidRPr="00E83343" w:rsidRDefault="00BB410C" w:rsidP="00E91542">
      <w:pPr>
        <w:pStyle w:val="ListParagraph"/>
        <w:numPr>
          <w:ilvl w:val="0"/>
          <w:numId w:val="0"/>
        </w:numPr>
        <w:spacing w:after="180" w:line="360" w:lineRule="auto"/>
        <w:ind w:left="1418"/>
        <w:rPr>
          <w:i/>
          <w:iCs/>
          <w:sz w:val="22"/>
          <w:szCs w:val="22"/>
        </w:rPr>
      </w:pPr>
      <w:r w:rsidRPr="00E83343">
        <w:rPr>
          <w:i/>
          <w:iCs/>
          <w:sz w:val="22"/>
          <w:szCs w:val="22"/>
        </w:rPr>
        <w:t xml:space="preserve">01/03/2012 </w:t>
      </w:r>
      <w:r w:rsidRPr="00E83343">
        <w:rPr>
          <w:i/>
          <w:iCs/>
          <w:sz w:val="22"/>
          <w:szCs w:val="22"/>
        </w:rPr>
        <w:tab/>
      </w:r>
      <w:r w:rsidRPr="00E83343">
        <w:rPr>
          <w:i/>
          <w:iCs/>
          <w:sz w:val="22"/>
          <w:szCs w:val="22"/>
        </w:rPr>
        <w:tab/>
        <w:t>£150 000</w:t>
      </w:r>
      <w:r w:rsidRPr="00E83343">
        <w:rPr>
          <w:i/>
          <w:iCs/>
          <w:sz w:val="22"/>
          <w:szCs w:val="22"/>
        </w:rPr>
        <w:tab/>
        <w:t>MAT Worldwide</w:t>
      </w:r>
    </w:p>
    <w:p w14:paraId="531963D0" w14:textId="77777777" w:rsidR="00BB410C" w:rsidRPr="00E83343" w:rsidRDefault="00BB410C" w:rsidP="00BB410C">
      <w:pPr>
        <w:pStyle w:val="ListParagraph"/>
        <w:numPr>
          <w:ilvl w:val="0"/>
          <w:numId w:val="0"/>
        </w:numPr>
        <w:spacing w:after="120" w:line="360" w:lineRule="auto"/>
        <w:ind w:left="1418"/>
        <w:rPr>
          <w:i/>
          <w:iCs/>
          <w:sz w:val="22"/>
          <w:szCs w:val="22"/>
        </w:rPr>
      </w:pPr>
      <w:r w:rsidRPr="00E83343">
        <w:rPr>
          <w:i/>
          <w:iCs/>
          <w:sz w:val="22"/>
          <w:szCs w:val="22"/>
        </w:rPr>
        <w:t>Kernick Consulting made the following investments:</w:t>
      </w:r>
    </w:p>
    <w:p w14:paraId="1017094B" w14:textId="31E718B5" w:rsidR="00BB410C" w:rsidRPr="00E83343" w:rsidRDefault="00BB410C" w:rsidP="00E91542">
      <w:pPr>
        <w:pStyle w:val="ListParagraph"/>
        <w:numPr>
          <w:ilvl w:val="0"/>
          <w:numId w:val="0"/>
        </w:numPr>
        <w:spacing w:after="60" w:line="360" w:lineRule="auto"/>
        <w:ind w:left="1418"/>
        <w:rPr>
          <w:b/>
          <w:bCs/>
          <w:i/>
          <w:iCs/>
          <w:sz w:val="22"/>
          <w:szCs w:val="22"/>
        </w:rPr>
      </w:pPr>
      <w:r w:rsidRPr="00E83343">
        <w:rPr>
          <w:b/>
          <w:bCs/>
          <w:i/>
          <w:iCs/>
          <w:sz w:val="22"/>
          <w:szCs w:val="22"/>
        </w:rPr>
        <w:t>Date of investment</w:t>
      </w:r>
      <w:r w:rsidRPr="00E83343">
        <w:rPr>
          <w:b/>
          <w:bCs/>
          <w:i/>
          <w:iCs/>
          <w:sz w:val="22"/>
          <w:szCs w:val="22"/>
        </w:rPr>
        <w:tab/>
        <w:t>Amount</w:t>
      </w:r>
      <w:r w:rsidRPr="00E83343">
        <w:rPr>
          <w:b/>
          <w:bCs/>
          <w:i/>
          <w:iCs/>
          <w:sz w:val="22"/>
          <w:szCs w:val="22"/>
        </w:rPr>
        <w:tab/>
        <w:t xml:space="preserve">Investment company </w:t>
      </w:r>
    </w:p>
    <w:p w14:paraId="5ECC36D8" w14:textId="1CF540A9" w:rsidR="00BB410C" w:rsidRPr="00E83343" w:rsidRDefault="00BB410C" w:rsidP="00E91542">
      <w:pPr>
        <w:pStyle w:val="ListParagraph"/>
        <w:numPr>
          <w:ilvl w:val="0"/>
          <w:numId w:val="0"/>
        </w:numPr>
        <w:spacing w:after="60" w:line="360" w:lineRule="auto"/>
        <w:ind w:left="1418"/>
        <w:rPr>
          <w:i/>
          <w:iCs/>
          <w:sz w:val="22"/>
          <w:szCs w:val="22"/>
        </w:rPr>
      </w:pPr>
      <w:r w:rsidRPr="00E83343">
        <w:rPr>
          <w:i/>
          <w:iCs/>
          <w:sz w:val="22"/>
          <w:szCs w:val="22"/>
        </w:rPr>
        <w:t xml:space="preserve">01/09/2009 </w:t>
      </w:r>
      <w:r w:rsidRPr="00E83343">
        <w:rPr>
          <w:i/>
          <w:iCs/>
          <w:sz w:val="22"/>
          <w:szCs w:val="22"/>
        </w:rPr>
        <w:tab/>
      </w:r>
      <w:r w:rsidRPr="00E83343">
        <w:rPr>
          <w:i/>
          <w:iCs/>
          <w:sz w:val="22"/>
          <w:szCs w:val="22"/>
        </w:rPr>
        <w:tab/>
        <w:t xml:space="preserve">£50 000 </w:t>
      </w:r>
      <w:r w:rsidRPr="00E83343">
        <w:rPr>
          <w:i/>
          <w:iCs/>
          <w:sz w:val="22"/>
          <w:szCs w:val="22"/>
        </w:rPr>
        <w:tab/>
        <w:t xml:space="preserve">MAT Worldwide </w:t>
      </w:r>
    </w:p>
    <w:p w14:paraId="5B60E9F0" w14:textId="07BE60E0" w:rsidR="00BB410C" w:rsidRPr="00E83343" w:rsidRDefault="00BB410C" w:rsidP="00E91542">
      <w:pPr>
        <w:pStyle w:val="ListParagraph"/>
        <w:numPr>
          <w:ilvl w:val="0"/>
          <w:numId w:val="0"/>
        </w:numPr>
        <w:spacing w:after="60" w:line="360" w:lineRule="auto"/>
        <w:ind w:left="1418"/>
        <w:rPr>
          <w:i/>
          <w:iCs/>
          <w:sz w:val="22"/>
          <w:szCs w:val="22"/>
        </w:rPr>
      </w:pPr>
      <w:r w:rsidRPr="00E83343">
        <w:rPr>
          <w:i/>
          <w:iCs/>
          <w:sz w:val="22"/>
          <w:szCs w:val="22"/>
        </w:rPr>
        <w:t xml:space="preserve">01/10/2010 </w:t>
      </w:r>
      <w:r w:rsidRPr="00E83343">
        <w:rPr>
          <w:i/>
          <w:iCs/>
          <w:sz w:val="22"/>
          <w:szCs w:val="22"/>
        </w:rPr>
        <w:tab/>
      </w:r>
      <w:r w:rsidRPr="00E83343">
        <w:rPr>
          <w:i/>
          <w:iCs/>
          <w:sz w:val="22"/>
          <w:szCs w:val="22"/>
        </w:rPr>
        <w:tab/>
        <w:t xml:space="preserve">£100 000 </w:t>
      </w:r>
      <w:r w:rsidRPr="00E83343">
        <w:rPr>
          <w:i/>
          <w:iCs/>
          <w:sz w:val="22"/>
          <w:szCs w:val="22"/>
        </w:rPr>
        <w:tab/>
        <w:t xml:space="preserve">MAT Worldwide </w:t>
      </w:r>
    </w:p>
    <w:p w14:paraId="361EE756" w14:textId="387DF8B8" w:rsidR="00E24F35" w:rsidRPr="00E83343" w:rsidRDefault="00BB410C" w:rsidP="00BB410C">
      <w:pPr>
        <w:pStyle w:val="ListParagraph"/>
        <w:numPr>
          <w:ilvl w:val="0"/>
          <w:numId w:val="0"/>
        </w:numPr>
        <w:spacing w:after="480" w:line="360" w:lineRule="auto"/>
        <w:ind w:left="1418"/>
        <w:rPr>
          <w:i/>
          <w:iCs/>
          <w:sz w:val="22"/>
          <w:szCs w:val="22"/>
        </w:rPr>
      </w:pPr>
      <w:r w:rsidRPr="00E83343">
        <w:rPr>
          <w:i/>
          <w:iCs/>
          <w:sz w:val="22"/>
          <w:szCs w:val="22"/>
        </w:rPr>
        <w:t xml:space="preserve">01/02/2012 </w:t>
      </w:r>
      <w:r w:rsidRPr="00E83343">
        <w:rPr>
          <w:i/>
          <w:iCs/>
          <w:sz w:val="22"/>
          <w:szCs w:val="22"/>
        </w:rPr>
        <w:tab/>
      </w:r>
      <w:r w:rsidRPr="00E83343">
        <w:rPr>
          <w:i/>
          <w:iCs/>
          <w:sz w:val="22"/>
          <w:szCs w:val="22"/>
        </w:rPr>
        <w:tab/>
        <w:t xml:space="preserve">£50 000 </w:t>
      </w:r>
      <w:r w:rsidRPr="00E83343">
        <w:rPr>
          <w:i/>
          <w:iCs/>
          <w:sz w:val="22"/>
          <w:szCs w:val="22"/>
        </w:rPr>
        <w:tab/>
        <w:t>MAT Worldwide</w:t>
      </w:r>
      <w:r w:rsidR="00C05739">
        <w:rPr>
          <w:i/>
          <w:iCs/>
          <w:sz w:val="22"/>
          <w:szCs w:val="22"/>
        </w:rPr>
        <w:t>’</w:t>
      </w:r>
    </w:p>
    <w:p w14:paraId="25B59B57" w14:textId="68B83ECD" w:rsidR="00F10B4B" w:rsidRPr="00ED6FE1" w:rsidRDefault="00ED6FE1" w:rsidP="00ED6FE1">
      <w:pPr>
        <w:spacing w:after="480"/>
        <w:ind w:left="720" w:hanging="720"/>
        <w:rPr>
          <w:rFonts w:cs="Arial"/>
        </w:rPr>
      </w:pPr>
      <w:r>
        <w:rPr>
          <w:rFonts w:cs="Arial"/>
          <w:szCs w:val="24"/>
        </w:rPr>
        <w:lastRenderedPageBreak/>
        <w:t>[33]</w:t>
      </w:r>
      <w:r>
        <w:rPr>
          <w:rFonts w:cs="Arial"/>
          <w:szCs w:val="24"/>
        </w:rPr>
        <w:tab/>
      </w:r>
      <w:r w:rsidR="00BB410C" w:rsidRPr="00ED6FE1">
        <w:rPr>
          <w:rFonts w:cs="Arial"/>
        </w:rPr>
        <w:t>As is further apparent from the judgment</w:t>
      </w:r>
      <w:r w:rsidR="001840AA" w:rsidRPr="00ED6FE1">
        <w:rPr>
          <w:rFonts w:cs="Arial"/>
        </w:rPr>
        <w:t>, Ms Moolman’s job description</w:t>
      </w:r>
      <w:r w:rsidR="00FC2BB2" w:rsidRPr="00ED6FE1">
        <w:rPr>
          <w:rFonts w:cs="Arial"/>
        </w:rPr>
        <w:t>, in contrast to that of Van Dyk,</w:t>
      </w:r>
      <w:r w:rsidR="001840AA" w:rsidRPr="00ED6FE1">
        <w:rPr>
          <w:rFonts w:cs="Arial"/>
        </w:rPr>
        <w:t xml:space="preserve"> was that of financial adviser</w:t>
      </w:r>
      <w:r w:rsidR="00F10B4B" w:rsidRPr="00ED6FE1">
        <w:rPr>
          <w:rFonts w:cs="Arial"/>
        </w:rPr>
        <w:t>. More particularly, she had, on 23 March 2009, entered into a memorandum of agreement with Atwealth, in terms of which she “was appointed as a financial advisor by Atwealth 'in the area of Financial Planning and Selling of approved financial products from the commencement date'.”</w:t>
      </w:r>
      <w:r w:rsidR="00F10B4B">
        <w:rPr>
          <w:rStyle w:val="FootnoteReference"/>
          <w:rFonts w:cs="Arial"/>
        </w:rPr>
        <w:footnoteReference w:id="14"/>
      </w:r>
      <w:r w:rsidR="00F10B4B" w:rsidRPr="00ED6FE1">
        <w:rPr>
          <w:rFonts w:cs="Arial"/>
        </w:rPr>
        <w:t xml:space="preserve"> </w:t>
      </w:r>
    </w:p>
    <w:p w14:paraId="550DCAA8" w14:textId="29AAB78B" w:rsidR="00F10B4B" w:rsidRPr="00ED6FE1" w:rsidRDefault="00ED6FE1" w:rsidP="00ED6FE1">
      <w:pPr>
        <w:spacing w:after="240"/>
        <w:ind w:left="720" w:hanging="720"/>
        <w:rPr>
          <w:rFonts w:cs="Arial"/>
        </w:rPr>
      </w:pPr>
      <w:r>
        <w:rPr>
          <w:rFonts w:cs="Arial"/>
          <w:szCs w:val="24"/>
        </w:rPr>
        <w:t>[34]</w:t>
      </w:r>
      <w:r>
        <w:rPr>
          <w:rFonts w:cs="Arial"/>
          <w:szCs w:val="24"/>
        </w:rPr>
        <w:tab/>
      </w:r>
      <w:r w:rsidR="00F10B4B" w:rsidRPr="00ED6FE1">
        <w:rPr>
          <w:rFonts w:cs="Arial"/>
        </w:rPr>
        <w:t>The extent of the financial advice that Ms Moolman gave the Kernicks is also noteworthy. According to the Supreme Court of Appeal judgment:</w:t>
      </w:r>
    </w:p>
    <w:p w14:paraId="3B4BA433" w14:textId="4FDFC700" w:rsidR="00F10B4B" w:rsidRPr="00C05739" w:rsidRDefault="00C05739" w:rsidP="00F10B4B">
      <w:pPr>
        <w:pStyle w:val="ListParagraph"/>
        <w:numPr>
          <w:ilvl w:val="0"/>
          <w:numId w:val="0"/>
        </w:numPr>
        <w:spacing w:after="180" w:line="360" w:lineRule="auto"/>
        <w:ind w:left="1418"/>
        <w:rPr>
          <w:i/>
          <w:iCs/>
          <w:sz w:val="22"/>
          <w:szCs w:val="22"/>
        </w:rPr>
      </w:pPr>
      <w:r w:rsidRPr="00C05739">
        <w:rPr>
          <w:i/>
          <w:iCs/>
          <w:sz w:val="22"/>
          <w:szCs w:val="22"/>
        </w:rPr>
        <w:t>‘</w:t>
      </w:r>
      <w:r w:rsidR="00F10B4B" w:rsidRPr="00C05739">
        <w:rPr>
          <w:i/>
          <w:iCs/>
          <w:sz w:val="22"/>
          <w:szCs w:val="22"/>
        </w:rPr>
        <w:t>[13] Ms Moolman made a presentation to the Kernicks, including a description of Abante Capital (Pty) Ltd as 'a South African hedge fund management company: Abante's funds each focus on the core strategy of quantitative arbitrage'. From the documents which she claimed to employ during her presentation, it appears that she introduced them to two specific products, namely RVAF and a product described as Bridgefin.</w:t>
      </w:r>
    </w:p>
    <w:p w14:paraId="5FE713A3" w14:textId="0B5DB86B" w:rsidR="00F10B4B" w:rsidRPr="00C05739" w:rsidRDefault="00F10B4B" w:rsidP="00F10B4B">
      <w:pPr>
        <w:pStyle w:val="ListParagraph"/>
        <w:numPr>
          <w:ilvl w:val="0"/>
          <w:numId w:val="0"/>
        </w:numPr>
        <w:spacing w:after="120" w:line="360" w:lineRule="auto"/>
        <w:ind w:left="1418"/>
        <w:rPr>
          <w:i/>
          <w:iCs/>
          <w:sz w:val="22"/>
          <w:szCs w:val="22"/>
        </w:rPr>
      </w:pPr>
      <w:r w:rsidRPr="00C05739">
        <w:rPr>
          <w:i/>
          <w:iCs/>
          <w:sz w:val="22"/>
          <w:szCs w:val="22"/>
        </w:rPr>
        <w:t xml:space="preserve">[14] According to Mr Kernick, Ms Moolman spoke of RVAF as a — </w:t>
      </w:r>
    </w:p>
    <w:p w14:paraId="3EE94F9F" w14:textId="512FA360" w:rsidR="00F10B4B" w:rsidRPr="009160BE" w:rsidRDefault="00C05739" w:rsidP="00F10B4B">
      <w:pPr>
        <w:pStyle w:val="ListParagraph"/>
        <w:numPr>
          <w:ilvl w:val="0"/>
          <w:numId w:val="0"/>
        </w:numPr>
        <w:spacing w:after="240" w:line="240" w:lineRule="auto"/>
        <w:ind w:left="1985"/>
        <w:rPr>
          <w:i/>
          <w:iCs/>
          <w:sz w:val="20"/>
          <w:szCs w:val="20"/>
        </w:rPr>
      </w:pPr>
      <w:r w:rsidRPr="009160BE">
        <w:rPr>
          <w:sz w:val="20"/>
          <w:szCs w:val="20"/>
        </w:rPr>
        <w:t>“</w:t>
      </w:r>
      <w:r w:rsidR="00F10B4B" w:rsidRPr="009160BE">
        <w:rPr>
          <w:i/>
          <w:iCs/>
          <w:sz w:val="20"/>
          <w:szCs w:val="20"/>
        </w:rPr>
        <w:t>product that was invested in the top twenty shares, sorry forty shares in either the UK or South Africa, depending which fund you were in. Sorry, there was the RVA and the MAT Worldwide. And then the top forty shares were traded electronically, which appealed to us, and they were based on sectors so there was a technical sector or a financial sector. And based on fluctuations within a sector which share would be traded, either bought or sold. So they didn't look at it as a day-to-day what shares are doing well, they looked at it by sector.</w:t>
      </w:r>
      <w:r w:rsidR="009160BE" w:rsidRPr="009160BE">
        <w:rPr>
          <w:i/>
          <w:iCs/>
          <w:sz w:val="20"/>
          <w:szCs w:val="20"/>
        </w:rPr>
        <w:t>”</w:t>
      </w:r>
    </w:p>
    <w:p w14:paraId="17A066D3" w14:textId="58C3CB3E" w:rsidR="00F10B4B" w:rsidRPr="009160BE" w:rsidRDefault="00F10B4B" w:rsidP="00F10B4B">
      <w:pPr>
        <w:pStyle w:val="ListParagraph"/>
        <w:numPr>
          <w:ilvl w:val="0"/>
          <w:numId w:val="0"/>
        </w:numPr>
        <w:spacing w:after="120" w:line="360" w:lineRule="auto"/>
        <w:ind w:left="1418"/>
        <w:rPr>
          <w:i/>
          <w:iCs/>
          <w:sz w:val="22"/>
          <w:szCs w:val="22"/>
        </w:rPr>
      </w:pPr>
      <w:r w:rsidRPr="009160BE">
        <w:rPr>
          <w:i/>
          <w:iCs/>
          <w:sz w:val="22"/>
          <w:szCs w:val="22"/>
        </w:rPr>
        <w:t>[15] Mr Kernick emphasised that it was important to both him and his wife that the RAV fund 'was invested in the top equities in the country or the top shares, so we felt that was more to our liking'. He said of the products which Ms</w:t>
      </w:r>
      <w:r w:rsidR="009160BE">
        <w:rPr>
          <w:i/>
          <w:iCs/>
          <w:sz w:val="22"/>
          <w:szCs w:val="22"/>
        </w:rPr>
        <w:t> </w:t>
      </w:r>
      <w:r w:rsidRPr="009160BE">
        <w:rPr>
          <w:i/>
          <w:iCs/>
          <w:sz w:val="22"/>
          <w:szCs w:val="22"/>
        </w:rPr>
        <w:t xml:space="preserve">Moolman introduced: </w:t>
      </w:r>
    </w:p>
    <w:p w14:paraId="4BF720BB" w14:textId="0278618C" w:rsidR="00F10B4B" w:rsidRPr="009160BE" w:rsidRDefault="009160BE" w:rsidP="00F10B4B">
      <w:pPr>
        <w:pStyle w:val="ListParagraph"/>
        <w:numPr>
          <w:ilvl w:val="0"/>
          <w:numId w:val="0"/>
        </w:numPr>
        <w:spacing w:after="480" w:line="240" w:lineRule="auto"/>
        <w:ind w:left="1985"/>
        <w:rPr>
          <w:i/>
          <w:iCs/>
          <w:sz w:val="20"/>
          <w:szCs w:val="20"/>
        </w:rPr>
      </w:pPr>
      <w:r>
        <w:rPr>
          <w:i/>
          <w:iCs/>
          <w:sz w:val="20"/>
          <w:szCs w:val="20"/>
        </w:rPr>
        <w:t>“</w:t>
      </w:r>
      <w:r w:rsidR="00F10B4B" w:rsidRPr="009160BE">
        <w:rPr>
          <w:i/>
          <w:iCs/>
          <w:sz w:val="20"/>
          <w:szCs w:val="20"/>
        </w:rPr>
        <w:t xml:space="preserve">(I)t was in equities, and a known asset effectively, not in properties or something. It was known in the top 40 companies on the stock market. The second thing we enjoyed about it was that the trading was very much computerised or we were led to believe computerised and which took the human emotion out of it. We wanted something that would trade, you know, </w:t>
      </w:r>
      <w:r w:rsidR="00F10B4B" w:rsidRPr="009160BE">
        <w:rPr>
          <w:i/>
          <w:iCs/>
          <w:sz w:val="20"/>
          <w:szCs w:val="20"/>
        </w:rPr>
        <w:lastRenderedPageBreak/>
        <w:t>based on fact not on hearsay. And then the third thing was the returns indicated to us, was why we invested [in] it.</w:t>
      </w:r>
      <w:r>
        <w:rPr>
          <w:i/>
          <w:iCs/>
          <w:sz w:val="20"/>
          <w:szCs w:val="20"/>
        </w:rPr>
        <w:t>”</w:t>
      </w:r>
    </w:p>
    <w:p w14:paraId="291A4494" w14:textId="45D55C6C" w:rsidR="0076637C" w:rsidRPr="00ED6FE1" w:rsidRDefault="00ED6FE1" w:rsidP="00ED6FE1">
      <w:pPr>
        <w:spacing w:after="480"/>
        <w:ind w:left="720" w:hanging="720"/>
        <w:rPr>
          <w:rFonts w:cs="Arial"/>
        </w:rPr>
      </w:pPr>
      <w:r>
        <w:rPr>
          <w:rFonts w:cs="Arial"/>
          <w:szCs w:val="24"/>
        </w:rPr>
        <w:t>[35]</w:t>
      </w:r>
      <w:r>
        <w:rPr>
          <w:rFonts w:cs="Arial"/>
          <w:szCs w:val="24"/>
        </w:rPr>
        <w:tab/>
      </w:r>
      <w:r w:rsidR="00F10B4B" w:rsidRPr="00ED6FE1">
        <w:rPr>
          <w:rFonts w:cs="Arial"/>
        </w:rPr>
        <w:t xml:space="preserve">The advice which was considered in the </w:t>
      </w:r>
      <w:r w:rsidR="00F10B4B" w:rsidRPr="00ED6FE1">
        <w:rPr>
          <w:rFonts w:cs="Arial"/>
          <w:i/>
          <w:iCs/>
        </w:rPr>
        <w:t>Atwealth</w:t>
      </w:r>
      <w:r w:rsidR="00F10B4B" w:rsidRPr="00ED6FE1">
        <w:rPr>
          <w:rFonts w:cs="Arial"/>
        </w:rPr>
        <w:t xml:space="preserve"> matter </w:t>
      </w:r>
      <w:r w:rsidR="00AE4DEB" w:rsidRPr="00ED6FE1">
        <w:rPr>
          <w:rFonts w:cs="Arial"/>
        </w:rPr>
        <w:t>thus</w:t>
      </w:r>
      <w:r w:rsidR="00F10B4B" w:rsidRPr="00ED6FE1">
        <w:rPr>
          <w:rFonts w:cs="Arial"/>
        </w:rPr>
        <w:t xml:space="preserve"> unquestionably </w:t>
      </w:r>
      <w:r w:rsidR="00AE4DEB" w:rsidRPr="00ED6FE1">
        <w:rPr>
          <w:rFonts w:cs="Arial"/>
        </w:rPr>
        <w:t xml:space="preserve">involved a recommendation, guidance or proposal of a financial nature in respect of a financial product. In stark contrast, the introduction and referral by Van Dyk in the present case </w:t>
      </w:r>
      <w:r w:rsidR="00DE1AB3" w:rsidRPr="00ED6FE1">
        <w:rPr>
          <w:rFonts w:cs="Arial"/>
        </w:rPr>
        <w:t>did</w:t>
      </w:r>
      <w:r w:rsidR="00AE4DEB" w:rsidRPr="00ED6FE1">
        <w:rPr>
          <w:rFonts w:cs="Arial"/>
        </w:rPr>
        <w:t xml:space="preserve"> not.</w:t>
      </w:r>
    </w:p>
    <w:p w14:paraId="098045D5" w14:textId="31FF56FC" w:rsidR="00AE4DEB" w:rsidRPr="00AE4DEB" w:rsidRDefault="00AE4DEB" w:rsidP="00AE4DEB">
      <w:pPr>
        <w:spacing w:after="300"/>
        <w:rPr>
          <w:rFonts w:cs="Arial"/>
          <w:b/>
          <w:bCs/>
        </w:rPr>
      </w:pPr>
      <w:r w:rsidRPr="00AE4DEB">
        <w:rPr>
          <w:rFonts w:cs="Arial"/>
          <w:b/>
          <w:bCs/>
        </w:rPr>
        <w:t>Conclusion and order</w:t>
      </w:r>
    </w:p>
    <w:p w14:paraId="2BA5FBCE" w14:textId="1EF977D8" w:rsidR="00AE4DEB" w:rsidRPr="00ED6FE1" w:rsidRDefault="00ED6FE1" w:rsidP="00ED6FE1">
      <w:pPr>
        <w:spacing w:after="480"/>
        <w:ind w:left="720" w:hanging="720"/>
        <w:rPr>
          <w:lang w:val="en-GB"/>
        </w:rPr>
      </w:pPr>
      <w:r w:rsidRPr="00AE4DEB">
        <w:rPr>
          <w:rFonts w:cs="Times New Roman"/>
          <w:szCs w:val="24"/>
          <w:lang w:val="en-GB"/>
        </w:rPr>
        <w:t>[36]</w:t>
      </w:r>
      <w:r w:rsidRPr="00AE4DEB">
        <w:rPr>
          <w:rFonts w:cs="Times New Roman"/>
          <w:szCs w:val="24"/>
          <w:lang w:val="en-GB"/>
        </w:rPr>
        <w:tab/>
      </w:r>
      <w:r w:rsidR="00AE4DEB" w:rsidRPr="00ED6FE1">
        <w:rPr>
          <w:lang w:val="en-GB"/>
        </w:rPr>
        <w:t xml:space="preserve">The exception is </w:t>
      </w:r>
      <w:r w:rsidR="008F2E71" w:rsidRPr="00ED6FE1">
        <w:rPr>
          <w:lang w:val="en-GB"/>
        </w:rPr>
        <w:t>consequently</w:t>
      </w:r>
      <w:r w:rsidR="00AE4DEB" w:rsidRPr="00ED6FE1">
        <w:rPr>
          <w:lang w:val="en-GB"/>
        </w:rPr>
        <w:t xml:space="preserve"> without merit and must be dismissed. Both parties were agreed that costs of counsel should be on scale A. </w:t>
      </w:r>
    </w:p>
    <w:p w14:paraId="740B8FE4" w14:textId="15CBDB1D" w:rsidR="006327F3" w:rsidRPr="00ED6FE1" w:rsidRDefault="00ED6FE1" w:rsidP="00ED6FE1">
      <w:pPr>
        <w:spacing w:after="240"/>
        <w:ind w:left="720" w:hanging="720"/>
        <w:rPr>
          <w:lang w:val="en-GB"/>
        </w:rPr>
      </w:pPr>
      <w:r w:rsidRPr="0070557D">
        <w:rPr>
          <w:rFonts w:cs="Times New Roman"/>
          <w:szCs w:val="24"/>
          <w:lang w:val="en-GB"/>
        </w:rPr>
        <w:t>[37]</w:t>
      </w:r>
      <w:r w:rsidRPr="0070557D">
        <w:rPr>
          <w:rFonts w:cs="Times New Roman"/>
          <w:szCs w:val="24"/>
          <w:lang w:val="en-GB"/>
        </w:rPr>
        <w:tab/>
      </w:r>
      <w:r w:rsidR="006327F3" w:rsidRPr="00ED6FE1">
        <w:rPr>
          <w:b/>
          <w:bCs/>
          <w:lang w:val="en-GB"/>
        </w:rPr>
        <w:t>I accordingly make the following order:</w:t>
      </w:r>
    </w:p>
    <w:p w14:paraId="5A551FEB" w14:textId="447D6B10" w:rsidR="004B590E" w:rsidRDefault="0070557D" w:rsidP="0070557D">
      <w:pPr>
        <w:pStyle w:val="ListParagraph"/>
        <w:numPr>
          <w:ilvl w:val="0"/>
          <w:numId w:val="0"/>
        </w:numPr>
        <w:spacing w:after="360"/>
        <w:ind w:left="1418"/>
        <w:rPr>
          <w:lang w:val="en-GB"/>
        </w:rPr>
      </w:pPr>
      <w:r>
        <w:rPr>
          <w:lang w:val="en-GB"/>
        </w:rPr>
        <w:t xml:space="preserve">The exception is dismissed with costs, including the costs of counsel, which are granted on scale </w:t>
      </w:r>
      <w:r w:rsidR="003D1ABD">
        <w:rPr>
          <w:lang w:val="en-GB"/>
        </w:rPr>
        <w:t>A</w:t>
      </w:r>
      <w:r>
        <w:rPr>
          <w:lang w:val="en-GB"/>
        </w:rPr>
        <w:t>.</w:t>
      </w:r>
    </w:p>
    <w:p w14:paraId="1CC55B53" w14:textId="77777777" w:rsidR="00D63926" w:rsidRDefault="00D63926" w:rsidP="0070557D">
      <w:pPr>
        <w:pStyle w:val="ListParagraph"/>
        <w:numPr>
          <w:ilvl w:val="0"/>
          <w:numId w:val="0"/>
        </w:numPr>
        <w:spacing w:after="360"/>
        <w:ind w:left="1418"/>
        <w:rPr>
          <w:lang w:val="en-GB"/>
        </w:rPr>
      </w:pPr>
    </w:p>
    <w:p w14:paraId="365DBDAD" w14:textId="77777777" w:rsidR="00D63926" w:rsidRPr="00D14F9E" w:rsidRDefault="00D63926" w:rsidP="00D63926">
      <w:pPr>
        <w:pStyle w:val="ListParagraph"/>
        <w:numPr>
          <w:ilvl w:val="0"/>
          <w:numId w:val="0"/>
        </w:numPr>
        <w:spacing w:after="360" w:line="240" w:lineRule="auto"/>
        <w:ind w:left="4734" w:firstLine="306"/>
      </w:pPr>
      <w:r w:rsidRPr="00D14F9E">
        <w:t>_________________________</w:t>
      </w:r>
    </w:p>
    <w:p w14:paraId="45425CBB" w14:textId="77777777" w:rsidR="00D63926" w:rsidRPr="00D14F9E" w:rsidRDefault="00D63926" w:rsidP="00D63926">
      <w:pPr>
        <w:pStyle w:val="ListParagraph"/>
        <w:numPr>
          <w:ilvl w:val="0"/>
          <w:numId w:val="0"/>
        </w:numPr>
        <w:spacing w:after="360"/>
        <w:ind w:left="1134"/>
        <w:rPr>
          <w:b/>
          <w:bCs/>
        </w:rPr>
      </w:pPr>
      <w:r w:rsidRPr="00D14F9E">
        <w:tab/>
      </w:r>
      <w:r w:rsidRPr="00D14F9E">
        <w:tab/>
      </w:r>
      <w:r w:rsidRPr="00D14F9E">
        <w:tab/>
      </w:r>
      <w:r w:rsidRPr="00D14F9E">
        <w:tab/>
      </w:r>
      <w:r w:rsidRPr="00D14F9E">
        <w:tab/>
      </w:r>
      <w:r w:rsidRPr="00D14F9E">
        <w:tab/>
      </w:r>
      <w:r w:rsidRPr="00D14F9E">
        <w:rPr>
          <w:b/>
          <w:bCs/>
        </w:rPr>
        <w:t xml:space="preserve">ACTING JUDGE P FARLAM </w:t>
      </w:r>
    </w:p>
    <w:p w14:paraId="19CC0CE6" w14:textId="5966DE20" w:rsidR="00D63926" w:rsidRDefault="00D63926" w:rsidP="00D63926">
      <w:pPr>
        <w:spacing w:line="276" w:lineRule="auto"/>
      </w:pPr>
      <w:r w:rsidRPr="000F667E">
        <w:rPr>
          <w:u w:val="single"/>
        </w:rPr>
        <w:t xml:space="preserve">For </w:t>
      </w:r>
      <w:r>
        <w:rPr>
          <w:u w:val="single"/>
        </w:rPr>
        <w:t>plaintiff</w:t>
      </w:r>
      <w:r w:rsidRPr="00D26A46">
        <w:t>:</w:t>
      </w:r>
      <w:r>
        <w:t xml:space="preserve"> Adv A </w:t>
      </w:r>
      <w:r w:rsidRPr="00CA064D">
        <w:t>Oosthuizen</w:t>
      </w:r>
      <w:r>
        <w:t xml:space="preserve"> </w:t>
      </w:r>
    </w:p>
    <w:p w14:paraId="44178814" w14:textId="0E09F705" w:rsidR="00D63926" w:rsidRPr="000F667E" w:rsidRDefault="00D63926" w:rsidP="00D63926">
      <w:pPr>
        <w:spacing w:line="276" w:lineRule="auto"/>
      </w:pPr>
      <w:r w:rsidRPr="00184E4C">
        <w:rPr>
          <w:u w:val="single"/>
        </w:rPr>
        <w:t>Instructed by</w:t>
      </w:r>
      <w:r w:rsidRPr="00D26A46">
        <w:t>:</w:t>
      </w:r>
      <w:r>
        <w:t xml:space="preserve"> Roux Van Dyk Attorneys</w:t>
      </w:r>
      <w:r w:rsidR="00CA064D">
        <w:t xml:space="preserve">, </w:t>
      </w:r>
      <w:r>
        <w:t xml:space="preserve">E Van Dyk, M Matthee, </w:t>
      </w:r>
    </w:p>
    <w:p w14:paraId="55CC4DC4" w14:textId="77777777" w:rsidR="00D63926" w:rsidRDefault="00D63926" w:rsidP="00CA064D">
      <w:pPr>
        <w:spacing w:after="0" w:line="240" w:lineRule="auto"/>
        <w:rPr>
          <w:u w:val="single"/>
        </w:rPr>
      </w:pPr>
    </w:p>
    <w:p w14:paraId="19D044A1" w14:textId="67E1DF9A" w:rsidR="00D63926" w:rsidRDefault="00D63926" w:rsidP="00D63926">
      <w:pPr>
        <w:spacing w:line="276" w:lineRule="auto"/>
      </w:pPr>
      <w:r w:rsidRPr="000F667E">
        <w:rPr>
          <w:u w:val="single"/>
        </w:rPr>
        <w:t xml:space="preserve">For </w:t>
      </w:r>
      <w:r>
        <w:rPr>
          <w:u w:val="single"/>
        </w:rPr>
        <w:t>defendant</w:t>
      </w:r>
      <w:r w:rsidRPr="00D26A46">
        <w:t>:</w:t>
      </w:r>
      <w:r>
        <w:t xml:space="preserve"> Adv A </w:t>
      </w:r>
      <w:r w:rsidRPr="00CA064D">
        <w:t>Titus</w:t>
      </w:r>
      <w:r>
        <w:t xml:space="preserve"> </w:t>
      </w:r>
    </w:p>
    <w:p w14:paraId="31594594" w14:textId="32CC6F98" w:rsidR="00D63926" w:rsidRPr="00CA064D" w:rsidRDefault="00D63926" w:rsidP="00CA064D">
      <w:pPr>
        <w:spacing w:after="360"/>
        <w:ind w:left="720" w:hanging="720"/>
        <w:rPr>
          <w:lang w:val="en-GB"/>
        </w:rPr>
      </w:pPr>
      <w:r w:rsidRPr="00CA064D">
        <w:rPr>
          <w:u w:val="single"/>
        </w:rPr>
        <w:t>Instructed by</w:t>
      </w:r>
      <w:r w:rsidRPr="00D26A46">
        <w:t>:</w:t>
      </w:r>
      <w:r>
        <w:t xml:space="preserve"> Abrahams Kiewitz Inc.</w:t>
      </w:r>
      <w:r w:rsidR="00CA064D">
        <w:t>,</w:t>
      </w:r>
      <w:r>
        <w:t xml:space="preserve"> K Kiewitz</w:t>
      </w:r>
    </w:p>
    <w:sectPr w:rsidR="00D63926" w:rsidRPr="00CA064D" w:rsidSect="00B13708">
      <w:headerReference w:type="default" r:id="rId10"/>
      <w:footerReference w:type="even" r:id="rId11"/>
      <w:footerReference w:type="default" r:id="rId12"/>
      <w:pgSz w:w="11906" w:h="16838" w:code="9"/>
      <w:pgMar w:top="568" w:right="1474" w:bottom="1503" w:left="153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8ECFA" w14:textId="77777777" w:rsidR="003E3D29" w:rsidRDefault="003E3D29" w:rsidP="0024321B">
      <w:pPr>
        <w:spacing w:after="0" w:line="240" w:lineRule="auto"/>
      </w:pPr>
      <w:r>
        <w:separator/>
      </w:r>
    </w:p>
    <w:p w14:paraId="6537D5E3" w14:textId="77777777" w:rsidR="003E3D29" w:rsidRDefault="003E3D29"/>
    <w:p w14:paraId="2A153F9B" w14:textId="77777777" w:rsidR="003E3D29" w:rsidRDefault="003E3D29" w:rsidP="00417844"/>
  </w:endnote>
  <w:endnote w:type="continuationSeparator" w:id="0">
    <w:p w14:paraId="0A8B7EAF" w14:textId="77777777" w:rsidR="003E3D29" w:rsidRDefault="003E3D29" w:rsidP="0024321B">
      <w:pPr>
        <w:spacing w:after="0" w:line="240" w:lineRule="auto"/>
      </w:pPr>
      <w:r>
        <w:continuationSeparator/>
      </w:r>
    </w:p>
    <w:p w14:paraId="2487A8F0" w14:textId="77777777" w:rsidR="003E3D29" w:rsidRDefault="003E3D29"/>
    <w:p w14:paraId="0368BCDC" w14:textId="77777777" w:rsidR="003E3D29" w:rsidRDefault="003E3D29" w:rsidP="00417844"/>
  </w:endnote>
  <w:endnote w:type="continuationNotice" w:id="1">
    <w:p w14:paraId="032E977C" w14:textId="77777777" w:rsidR="003E3D29" w:rsidRDefault="003E3D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3117469"/>
      <w:docPartObj>
        <w:docPartGallery w:val="Page Numbers (Bottom of Page)"/>
        <w:docPartUnique/>
      </w:docPartObj>
    </w:sdtPr>
    <w:sdtEndPr>
      <w:rPr>
        <w:rStyle w:val="PageNumber"/>
      </w:rPr>
    </w:sdtEndPr>
    <w:sdtContent>
      <w:p w14:paraId="060C5720" w14:textId="77777777" w:rsidR="004B19CC" w:rsidRDefault="004B19CC" w:rsidP="00BF446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770DAA" w14:textId="77777777" w:rsidR="004B19CC" w:rsidRDefault="004B19CC" w:rsidP="005A2C17">
    <w:pPr>
      <w:pStyle w:val="Footer"/>
      <w:ind w:right="360"/>
    </w:pPr>
  </w:p>
  <w:p w14:paraId="4C53FE96" w14:textId="77777777" w:rsidR="004B19CC" w:rsidRDefault="004B19CC"/>
  <w:p w14:paraId="4D5A9370" w14:textId="77777777" w:rsidR="004B19CC" w:rsidRDefault="004B19CC" w:rsidP="0041784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56CAC" w14:textId="55978F26" w:rsidR="004B19CC" w:rsidRPr="00827609" w:rsidRDefault="004B19CC" w:rsidP="00BF446A">
    <w:pPr>
      <w:pStyle w:val="Footer"/>
      <w:framePr w:wrap="none" w:vAnchor="text" w:hAnchor="margin" w:xAlign="center" w:y="1"/>
      <w:rPr>
        <w:rStyle w:val="PageNumber"/>
        <w:rFonts w:cs="Arial"/>
        <w:sz w:val="22"/>
      </w:rPr>
    </w:pPr>
  </w:p>
  <w:p w14:paraId="2226D49C" w14:textId="77777777" w:rsidR="004B19CC" w:rsidRPr="00827609" w:rsidRDefault="004B19CC">
    <w:pPr>
      <w:pStyle w:val="Footer"/>
      <w:rPr>
        <w:rFonts w:cs="Arial"/>
        <w:sz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00782" w14:textId="77777777" w:rsidR="003E3D29" w:rsidRDefault="003E3D29" w:rsidP="00985C13">
      <w:pPr>
        <w:spacing w:after="0"/>
      </w:pPr>
      <w:r>
        <w:separator/>
      </w:r>
    </w:p>
  </w:footnote>
  <w:footnote w:type="continuationSeparator" w:id="0">
    <w:p w14:paraId="73D35723" w14:textId="77777777" w:rsidR="003E3D29" w:rsidRDefault="003E3D29" w:rsidP="00417844">
      <w:r>
        <w:continuationSeparator/>
      </w:r>
    </w:p>
  </w:footnote>
  <w:footnote w:type="continuationNotice" w:id="1">
    <w:p w14:paraId="04BF1A43" w14:textId="77777777" w:rsidR="003E3D29" w:rsidRDefault="003E3D29">
      <w:pPr>
        <w:spacing w:after="0" w:line="240" w:lineRule="auto"/>
      </w:pPr>
    </w:p>
  </w:footnote>
  <w:footnote w:id="2">
    <w:p w14:paraId="6B4492B3" w14:textId="27A85D8D" w:rsidR="00F05980" w:rsidRPr="00F05980" w:rsidRDefault="00F05980" w:rsidP="00F05980">
      <w:pPr>
        <w:pStyle w:val="FootnoteText"/>
        <w:spacing w:after="120" w:line="240" w:lineRule="auto"/>
        <w:ind w:left="284" w:hanging="284"/>
        <w:rPr>
          <w:lang w:val="en-US"/>
        </w:rPr>
      </w:pPr>
      <w:r>
        <w:rPr>
          <w:rStyle w:val="FootnoteReference"/>
        </w:rPr>
        <w:footnoteRef/>
      </w:r>
      <w:r>
        <w:t xml:space="preserve"> </w:t>
      </w:r>
      <w:r>
        <w:rPr>
          <w:lang w:val="en-US"/>
        </w:rPr>
        <w:tab/>
      </w:r>
      <w:r w:rsidRPr="00415ACC">
        <w:rPr>
          <w:rFonts w:cs="Arial"/>
          <w:i/>
          <w:iCs/>
        </w:rPr>
        <w:t>Nel and Others NNO v McArthur</w:t>
      </w:r>
      <w:r w:rsidRPr="00415ACC">
        <w:rPr>
          <w:rFonts w:cs="Arial"/>
        </w:rPr>
        <w:t xml:space="preserve"> 2003 (4) SA 142 (T) at 149F.</w:t>
      </w:r>
    </w:p>
  </w:footnote>
  <w:footnote w:id="3">
    <w:p w14:paraId="168F2A71" w14:textId="7CCB7B3B" w:rsidR="00F05980" w:rsidRPr="00F05980" w:rsidRDefault="00F05980" w:rsidP="00F05980">
      <w:pPr>
        <w:pStyle w:val="FootnoteText"/>
        <w:spacing w:after="120" w:line="240" w:lineRule="auto"/>
        <w:ind w:left="284" w:hanging="284"/>
        <w:rPr>
          <w:lang w:val="en-US"/>
        </w:rPr>
      </w:pPr>
      <w:r>
        <w:rPr>
          <w:rStyle w:val="FootnoteReference"/>
        </w:rPr>
        <w:footnoteRef/>
      </w:r>
      <w:r>
        <w:t xml:space="preserve"> </w:t>
      </w:r>
      <w:r>
        <w:tab/>
      </w:r>
      <w:r w:rsidRPr="00F05980">
        <w:t>An excipient must persuade the court that upon every interpretation which the pleading in question, as well as any document upon which it is based, can reasonably bear, the pleading is excipiable</w:t>
      </w:r>
      <w:r>
        <w:t xml:space="preserve">: see e.g., </w:t>
      </w:r>
      <w:r w:rsidRPr="00415ACC">
        <w:rPr>
          <w:rFonts w:cs="Arial"/>
          <w:i/>
          <w:iCs/>
        </w:rPr>
        <w:t>First National Bank of Southern Africa Ltd v Perry NO</w:t>
      </w:r>
      <w:r w:rsidRPr="00415ACC">
        <w:rPr>
          <w:rFonts w:cs="Arial"/>
        </w:rPr>
        <w:t xml:space="preserve"> 2001 (3) SA 960 (SCA) at 965C-D</w:t>
      </w:r>
      <w:r>
        <w:rPr>
          <w:rFonts w:cs="Arial"/>
        </w:rPr>
        <w:t xml:space="preserve"> (para [6]); </w:t>
      </w:r>
      <w:r w:rsidRPr="00F46368">
        <w:rPr>
          <w:i/>
        </w:rPr>
        <w:t>Lewis v Oneanate (Pty) Ltd and Another</w:t>
      </w:r>
      <w:r>
        <w:t xml:space="preserve"> 1992 (4) SA 811 (A) at 817F; </w:t>
      </w:r>
      <w:r w:rsidRPr="00F46368">
        <w:rPr>
          <w:i/>
        </w:rPr>
        <w:t>Theunissen v Transvaalse Lewendehawe Koöp Bpk</w:t>
      </w:r>
      <w:r>
        <w:t xml:space="preserve"> 1988 (2) SA 493 (A) at 500D; </w:t>
      </w:r>
      <w:r w:rsidRPr="007B196E">
        <w:rPr>
          <w:i/>
          <w:iCs/>
        </w:rPr>
        <w:t>South African National Parks v Ras</w:t>
      </w:r>
      <w:r>
        <w:t xml:space="preserve"> 2002 (2) SA 537 (C) at 542B-E.</w:t>
      </w:r>
    </w:p>
  </w:footnote>
  <w:footnote w:id="4">
    <w:p w14:paraId="3F7DA79A" w14:textId="6391AC50" w:rsidR="00DB3C3B" w:rsidRPr="00DB3C3B" w:rsidRDefault="00DB3C3B" w:rsidP="00DB3C3B">
      <w:pPr>
        <w:pStyle w:val="FootnoteText"/>
        <w:spacing w:after="120" w:line="240" w:lineRule="auto"/>
        <w:ind w:left="284" w:hanging="284"/>
        <w:rPr>
          <w:lang w:val="en-US"/>
        </w:rPr>
      </w:pPr>
      <w:r>
        <w:rPr>
          <w:rStyle w:val="FootnoteReference"/>
        </w:rPr>
        <w:footnoteRef/>
      </w:r>
      <w:r>
        <w:t xml:space="preserve"> </w:t>
      </w:r>
      <w:r>
        <w:rPr>
          <w:lang w:val="en-US"/>
        </w:rPr>
        <w:tab/>
      </w:r>
      <w:r w:rsidRPr="008F1FC7">
        <w:rPr>
          <w:i/>
        </w:rPr>
        <w:t>Barnard v Barnard</w:t>
      </w:r>
      <w:r>
        <w:t xml:space="preserve"> 2000 (3) SA 741 (C) at para [10]; </w:t>
      </w:r>
      <w:r w:rsidRPr="00415ACC">
        <w:rPr>
          <w:rFonts w:cs="Arial"/>
          <w:i/>
          <w:iCs/>
        </w:rPr>
        <w:t>Lockhat &amp; Other v Minister of the Interior</w:t>
      </w:r>
      <w:r w:rsidRPr="00415ACC">
        <w:rPr>
          <w:rFonts w:cs="Arial"/>
        </w:rPr>
        <w:t xml:space="preserve"> 1960 (3) SA 765 (D) at 777C</w:t>
      </w:r>
      <w:r>
        <w:rPr>
          <w:rFonts w:cs="Arial"/>
        </w:rPr>
        <w:t>-</w:t>
      </w:r>
      <w:r w:rsidRPr="00415ACC">
        <w:rPr>
          <w:rFonts w:cs="Arial"/>
        </w:rPr>
        <w:t>B</w:t>
      </w:r>
      <w:r>
        <w:t>.</w:t>
      </w:r>
    </w:p>
  </w:footnote>
  <w:footnote w:id="5">
    <w:p w14:paraId="5CEC56D1" w14:textId="3A3269C8" w:rsidR="007E289B" w:rsidRPr="007E289B" w:rsidRDefault="007E289B" w:rsidP="007E289B">
      <w:pPr>
        <w:pStyle w:val="FootnoteText"/>
        <w:spacing w:after="120" w:line="240" w:lineRule="auto"/>
        <w:ind w:left="284" w:hanging="284"/>
        <w:rPr>
          <w:lang w:val="en-US"/>
        </w:rPr>
      </w:pPr>
      <w:r>
        <w:rPr>
          <w:rStyle w:val="FootnoteReference"/>
        </w:rPr>
        <w:footnoteRef/>
      </w:r>
      <w:r>
        <w:t xml:space="preserve"> </w:t>
      </w:r>
      <w:r>
        <w:rPr>
          <w:lang w:val="en-US"/>
        </w:rPr>
        <w:tab/>
        <w:t>As is also mentioned later in this judgment, the clause relied upon by the defendant in this regard – clause 1.4 of the brokerage agreement – stated that: “The Broker shall upon request by the Companies (</w:t>
      </w:r>
      <w:r w:rsidRPr="007E289B">
        <w:rPr>
          <w:b/>
          <w:bCs/>
          <w:lang w:val="en-US"/>
        </w:rPr>
        <w:t>Funders</w:t>
      </w:r>
      <w:r>
        <w:rPr>
          <w:lang w:val="en-US"/>
        </w:rPr>
        <w:t>), be required to adhere to any additional requirements imposed upon the companies by the financial services industry or legislation including but not limited to the Financial Intelligence Centre Act and the National Credit Act.”</w:t>
      </w:r>
    </w:p>
  </w:footnote>
  <w:footnote w:id="6">
    <w:p w14:paraId="61831B7A" w14:textId="77777777" w:rsidR="0041717E" w:rsidRDefault="0041717E" w:rsidP="0041717E">
      <w:pPr>
        <w:pStyle w:val="FootnoteText"/>
        <w:spacing w:after="60" w:line="240" w:lineRule="auto"/>
        <w:ind w:left="284" w:hanging="284"/>
        <w:rPr>
          <w:rFonts w:cs="Arial"/>
        </w:rPr>
      </w:pPr>
      <w:r>
        <w:rPr>
          <w:rStyle w:val="FootnoteReference"/>
        </w:rPr>
        <w:footnoteRef/>
      </w:r>
      <w:r>
        <w:t xml:space="preserve"> </w:t>
      </w:r>
      <w:r>
        <w:rPr>
          <w:lang w:val="en-US"/>
        </w:rPr>
        <w:tab/>
      </w:r>
      <w:r>
        <w:rPr>
          <w:rFonts w:cs="Arial"/>
        </w:rPr>
        <w:t>As mentioned at the outset, section 7(1)(</w:t>
      </w:r>
      <w:r w:rsidRPr="00A77B3D">
        <w:rPr>
          <w:rFonts w:cs="Arial"/>
          <w:i/>
          <w:iCs/>
        </w:rPr>
        <w:t>a</w:t>
      </w:r>
      <w:r>
        <w:rPr>
          <w:rFonts w:cs="Arial"/>
        </w:rPr>
        <w:t xml:space="preserve">) of the FAIS Act precludes a person from acting, or offering to act, as a financial services provider unless that person has been issued with a licence under section 8. </w:t>
      </w:r>
    </w:p>
    <w:p w14:paraId="07D362B1" w14:textId="208327D3" w:rsidR="0041717E" w:rsidRDefault="0041717E" w:rsidP="0041717E">
      <w:pPr>
        <w:pStyle w:val="FootnoteText"/>
        <w:spacing w:after="60" w:line="240" w:lineRule="auto"/>
        <w:ind w:left="284"/>
        <w:rPr>
          <w:rFonts w:cs="Arial"/>
        </w:rPr>
      </w:pPr>
      <w:r>
        <w:rPr>
          <w:rFonts w:cs="Arial"/>
        </w:rPr>
        <w:t xml:space="preserve">Section 8, headed “Application for authorisation”, regulates applications for, and the granting of, authorisations of FSPs or a representative of an FSP. It is </w:t>
      </w:r>
      <w:r w:rsidRPr="00F15F46">
        <w:rPr>
          <w:rFonts w:cs="Arial"/>
          <w:i/>
          <w:iCs/>
        </w:rPr>
        <w:t>inter alia</w:t>
      </w:r>
      <w:r>
        <w:rPr>
          <w:rFonts w:cs="Arial"/>
        </w:rPr>
        <w:t xml:space="preserve"> stipulated in subsection 8(1) that an application for authorisation must be accompanied by information to satisfy the Financial Sector Conduct Authority (FSCA) that the applicant complies with the fit and proper requirements.</w:t>
      </w:r>
    </w:p>
    <w:p w14:paraId="580D6984" w14:textId="272B9148" w:rsidR="0041717E" w:rsidRPr="0041717E" w:rsidRDefault="0041717E" w:rsidP="0041717E">
      <w:pPr>
        <w:pStyle w:val="FootnoteText"/>
        <w:spacing w:after="60" w:line="240" w:lineRule="auto"/>
        <w:ind w:left="284"/>
        <w:rPr>
          <w:lang w:val="en-US"/>
        </w:rPr>
      </w:pPr>
      <w:r>
        <w:rPr>
          <w:rFonts w:cs="Arial"/>
        </w:rPr>
        <w:t xml:space="preserve">(The defendant also appears to rely on an alleged contravention of section 13 of the FAIS Act, but that provision is not applicable to Van Dyk, as </w:t>
      </w:r>
      <w:r>
        <w:rPr>
          <w:lang w:val="en-US"/>
        </w:rPr>
        <w:t>it deals with persons who carry on business on behalf of others or act as a representative of an authorised financial services provider.)</w:t>
      </w:r>
    </w:p>
  </w:footnote>
  <w:footnote w:id="7">
    <w:p w14:paraId="7AFF71D7" w14:textId="58D72D9E" w:rsidR="00CE0C08" w:rsidRDefault="00CE0C08" w:rsidP="00CE0C08">
      <w:pPr>
        <w:pStyle w:val="FootnoteText"/>
        <w:ind w:left="284" w:hanging="284"/>
        <w:rPr>
          <w:lang w:val="en-US"/>
        </w:rPr>
      </w:pPr>
      <w:r>
        <w:rPr>
          <w:rStyle w:val="FootnoteReference"/>
        </w:rPr>
        <w:footnoteRef/>
      </w:r>
      <w:r>
        <w:t xml:space="preserve"> </w:t>
      </w:r>
      <w:r>
        <w:tab/>
      </w:r>
      <w:r>
        <w:rPr>
          <w:lang w:val="en-US"/>
        </w:rPr>
        <w:t>S</w:t>
      </w:r>
      <w:r w:rsidR="003858BB">
        <w:rPr>
          <w:lang w:val="en-US"/>
        </w:rPr>
        <w:t>ubs</w:t>
      </w:r>
      <w:r>
        <w:rPr>
          <w:lang w:val="en-US"/>
        </w:rPr>
        <w:t xml:space="preserve">ection </w:t>
      </w:r>
      <w:r w:rsidR="003858BB">
        <w:rPr>
          <w:lang w:val="en-US"/>
        </w:rPr>
        <w:t>1(</w:t>
      </w:r>
      <w:r>
        <w:rPr>
          <w:lang w:val="en-US"/>
        </w:rPr>
        <w:t>3</w:t>
      </w:r>
      <w:r w:rsidR="003858BB">
        <w:rPr>
          <w:lang w:val="en-US"/>
        </w:rPr>
        <w:t>)</w:t>
      </w:r>
      <w:r>
        <w:rPr>
          <w:lang w:val="en-US"/>
        </w:rPr>
        <w:t>(</w:t>
      </w:r>
      <w:r w:rsidRPr="00A77B3D">
        <w:rPr>
          <w:i/>
          <w:iCs/>
          <w:lang w:val="en-US"/>
        </w:rPr>
        <w:t>a</w:t>
      </w:r>
      <w:r>
        <w:rPr>
          <w:lang w:val="en-US"/>
        </w:rPr>
        <w:t>) states that:</w:t>
      </w:r>
    </w:p>
    <w:p w14:paraId="05C84BC4" w14:textId="279754E5" w:rsidR="00CE0C08" w:rsidRPr="005F5C8A" w:rsidRDefault="00CE0C08" w:rsidP="00CE0C08">
      <w:pPr>
        <w:pStyle w:val="FootnoteText"/>
        <w:spacing w:after="60" w:line="240" w:lineRule="auto"/>
        <w:ind w:left="567"/>
        <w:rPr>
          <w:i/>
          <w:iCs/>
          <w:sz w:val="18"/>
          <w:szCs w:val="18"/>
          <w:lang w:val="en-US"/>
        </w:rPr>
      </w:pPr>
      <w:r w:rsidRPr="005F5C8A">
        <w:rPr>
          <w:i/>
          <w:iCs/>
          <w:sz w:val="18"/>
          <w:szCs w:val="18"/>
          <w:lang w:val="en-US"/>
        </w:rPr>
        <w:t>“For purposes of this Act -</w:t>
      </w:r>
    </w:p>
    <w:p w14:paraId="7967C649" w14:textId="77777777" w:rsidR="00CE0C08" w:rsidRPr="005F5C8A" w:rsidRDefault="00CE0C08" w:rsidP="00CE0C08">
      <w:pPr>
        <w:pStyle w:val="FootnoteText"/>
        <w:spacing w:after="60" w:line="240" w:lineRule="auto"/>
        <w:ind w:left="993" w:hanging="426"/>
        <w:rPr>
          <w:i/>
          <w:iCs/>
          <w:sz w:val="18"/>
          <w:szCs w:val="18"/>
          <w:lang w:val="en-US"/>
        </w:rPr>
      </w:pPr>
      <w:r w:rsidRPr="005F5C8A">
        <w:rPr>
          <w:i/>
          <w:iCs/>
          <w:sz w:val="18"/>
          <w:szCs w:val="18"/>
          <w:lang w:val="en-US"/>
        </w:rPr>
        <w:t>(a)</w:t>
      </w:r>
      <w:r w:rsidRPr="005F5C8A">
        <w:rPr>
          <w:i/>
          <w:iCs/>
          <w:sz w:val="18"/>
          <w:szCs w:val="18"/>
          <w:lang w:val="en-US"/>
        </w:rPr>
        <w:tab/>
        <w:t>advice does not include-</w:t>
      </w:r>
    </w:p>
    <w:p w14:paraId="1D2EC58C" w14:textId="2F326D08" w:rsidR="00CE0C08" w:rsidRPr="005F5C8A" w:rsidRDefault="00CE0C08" w:rsidP="00CE0C08">
      <w:pPr>
        <w:pStyle w:val="FootnoteText"/>
        <w:spacing w:after="60" w:line="240" w:lineRule="auto"/>
        <w:ind w:left="567" w:firstLine="426"/>
        <w:rPr>
          <w:i/>
          <w:iCs/>
          <w:sz w:val="18"/>
          <w:szCs w:val="18"/>
          <w:lang w:val="en-US"/>
        </w:rPr>
      </w:pPr>
      <w:r w:rsidRPr="005F5C8A">
        <w:rPr>
          <w:i/>
          <w:iCs/>
          <w:sz w:val="18"/>
          <w:szCs w:val="18"/>
          <w:lang w:val="en-US"/>
        </w:rPr>
        <w:t>(i)</w:t>
      </w:r>
      <w:r w:rsidRPr="005F5C8A">
        <w:rPr>
          <w:i/>
          <w:iCs/>
          <w:sz w:val="18"/>
          <w:szCs w:val="18"/>
          <w:lang w:val="en-US"/>
        </w:rPr>
        <w:tab/>
        <w:t>factual advice given merely-</w:t>
      </w:r>
    </w:p>
    <w:p w14:paraId="265D5C69" w14:textId="338DBFFD" w:rsidR="00CE0C08" w:rsidRPr="005F5C8A" w:rsidRDefault="00CE0C08" w:rsidP="00CE0C08">
      <w:pPr>
        <w:pStyle w:val="FootnoteText"/>
        <w:spacing w:after="60" w:line="240" w:lineRule="auto"/>
        <w:ind w:left="1985" w:hanging="567"/>
        <w:rPr>
          <w:i/>
          <w:iCs/>
          <w:sz w:val="18"/>
          <w:szCs w:val="18"/>
          <w:lang w:val="en-US"/>
        </w:rPr>
      </w:pPr>
      <w:r w:rsidRPr="005F5C8A">
        <w:rPr>
          <w:i/>
          <w:iCs/>
          <w:sz w:val="18"/>
          <w:szCs w:val="18"/>
          <w:lang w:val="en-US"/>
        </w:rPr>
        <w:t>(aa)</w:t>
      </w:r>
      <w:r w:rsidRPr="005F5C8A">
        <w:rPr>
          <w:i/>
          <w:iCs/>
          <w:sz w:val="18"/>
          <w:szCs w:val="18"/>
          <w:lang w:val="en-US"/>
        </w:rPr>
        <w:tab/>
        <w:t>on the procedure for entering into a transaction in respect of any financial product;</w:t>
      </w:r>
    </w:p>
    <w:p w14:paraId="66AEE5BC" w14:textId="600B161D" w:rsidR="00CE0C08" w:rsidRPr="005F5C8A" w:rsidRDefault="00CE0C08" w:rsidP="00CE0C08">
      <w:pPr>
        <w:pStyle w:val="FootnoteText"/>
        <w:spacing w:after="60" w:line="240" w:lineRule="auto"/>
        <w:ind w:left="1985" w:hanging="567"/>
        <w:rPr>
          <w:i/>
          <w:iCs/>
          <w:sz w:val="18"/>
          <w:szCs w:val="18"/>
          <w:lang w:val="en-US"/>
        </w:rPr>
      </w:pPr>
      <w:r w:rsidRPr="005F5C8A">
        <w:rPr>
          <w:i/>
          <w:iCs/>
          <w:sz w:val="18"/>
          <w:szCs w:val="18"/>
          <w:lang w:val="en-US"/>
        </w:rPr>
        <w:t>(bb)</w:t>
      </w:r>
      <w:r w:rsidRPr="005F5C8A">
        <w:rPr>
          <w:i/>
          <w:iCs/>
          <w:sz w:val="18"/>
          <w:szCs w:val="18"/>
          <w:lang w:val="en-US"/>
        </w:rPr>
        <w:tab/>
        <w:t>in relation to the description of a financial product;</w:t>
      </w:r>
    </w:p>
    <w:p w14:paraId="5EB042F9" w14:textId="245C4222" w:rsidR="00CE0C08" w:rsidRPr="005F5C8A" w:rsidRDefault="00CE0C08" w:rsidP="00CE0C08">
      <w:pPr>
        <w:pStyle w:val="FootnoteText"/>
        <w:spacing w:after="60" w:line="240" w:lineRule="auto"/>
        <w:ind w:left="1985" w:hanging="567"/>
        <w:rPr>
          <w:i/>
          <w:iCs/>
          <w:sz w:val="18"/>
          <w:szCs w:val="18"/>
          <w:lang w:val="en-US"/>
        </w:rPr>
      </w:pPr>
      <w:r w:rsidRPr="005F5C8A">
        <w:rPr>
          <w:i/>
          <w:iCs/>
          <w:sz w:val="18"/>
          <w:szCs w:val="18"/>
          <w:lang w:val="en-US"/>
        </w:rPr>
        <w:t>(cc)</w:t>
      </w:r>
      <w:r w:rsidRPr="005F5C8A">
        <w:rPr>
          <w:i/>
          <w:iCs/>
          <w:sz w:val="18"/>
          <w:szCs w:val="18"/>
          <w:lang w:val="en-US"/>
        </w:rPr>
        <w:tab/>
        <w:t>in answer to routine administrative queries;</w:t>
      </w:r>
    </w:p>
    <w:p w14:paraId="2B0636F4" w14:textId="0261E5E7" w:rsidR="00CE0C08" w:rsidRPr="005F5C8A" w:rsidRDefault="00CE0C08" w:rsidP="00CE0C08">
      <w:pPr>
        <w:pStyle w:val="FootnoteText"/>
        <w:spacing w:after="60" w:line="240" w:lineRule="auto"/>
        <w:ind w:left="1985" w:hanging="567"/>
        <w:rPr>
          <w:i/>
          <w:iCs/>
          <w:sz w:val="18"/>
          <w:szCs w:val="18"/>
          <w:lang w:val="en-US"/>
        </w:rPr>
      </w:pPr>
      <w:r w:rsidRPr="005F5C8A">
        <w:rPr>
          <w:i/>
          <w:iCs/>
          <w:sz w:val="18"/>
          <w:szCs w:val="18"/>
          <w:lang w:val="en-US"/>
        </w:rPr>
        <w:t>(dd)</w:t>
      </w:r>
      <w:r w:rsidRPr="005F5C8A">
        <w:rPr>
          <w:i/>
          <w:iCs/>
          <w:sz w:val="18"/>
          <w:szCs w:val="18"/>
          <w:lang w:val="en-US"/>
        </w:rPr>
        <w:tab/>
        <w:t>in the form of objective information about a particular financial product; or</w:t>
      </w:r>
    </w:p>
    <w:p w14:paraId="28770915" w14:textId="05996D89" w:rsidR="00CE0C08" w:rsidRPr="005F5C8A" w:rsidRDefault="00CE0C08" w:rsidP="00CE0C08">
      <w:pPr>
        <w:pStyle w:val="FootnoteText"/>
        <w:spacing w:after="60" w:line="240" w:lineRule="auto"/>
        <w:ind w:left="1985" w:hanging="567"/>
        <w:rPr>
          <w:i/>
          <w:iCs/>
          <w:sz w:val="18"/>
          <w:szCs w:val="18"/>
          <w:lang w:val="en-US"/>
        </w:rPr>
      </w:pPr>
      <w:r w:rsidRPr="005F5C8A">
        <w:rPr>
          <w:i/>
          <w:iCs/>
          <w:sz w:val="18"/>
          <w:szCs w:val="18"/>
          <w:lang w:val="en-US"/>
        </w:rPr>
        <w:t>(ee)</w:t>
      </w:r>
      <w:r w:rsidRPr="005F5C8A">
        <w:rPr>
          <w:i/>
          <w:iCs/>
          <w:sz w:val="18"/>
          <w:szCs w:val="18"/>
          <w:lang w:val="en-US"/>
        </w:rPr>
        <w:tab/>
        <w:t>by the display or distribution of promotional material;</w:t>
      </w:r>
    </w:p>
    <w:p w14:paraId="79A42751" w14:textId="657DC82A" w:rsidR="00CE0C08" w:rsidRPr="005F5C8A" w:rsidRDefault="00CE0C08" w:rsidP="00CE0C08">
      <w:pPr>
        <w:pStyle w:val="FootnoteText"/>
        <w:spacing w:after="60" w:line="240" w:lineRule="auto"/>
        <w:ind w:left="1418" w:hanging="425"/>
        <w:rPr>
          <w:i/>
          <w:iCs/>
          <w:sz w:val="18"/>
          <w:szCs w:val="18"/>
          <w:lang w:val="en-US"/>
        </w:rPr>
      </w:pPr>
      <w:r w:rsidRPr="005F5C8A">
        <w:rPr>
          <w:i/>
          <w:iCs/>
          <w:sz w:val="18"/>
          <w:szCs w:val="18"/>
          <w:lang w:val="en-US"/>
        </w:rPr>
        <w:t>(ii)</w:t>
      </w:r>
      <w:r w:rsidRPr="005F5C8A">
        <w:rPr>
          <w:i/>
          <w:iCs/>
          <w:sz w:val="18"/>
          <w:szCs w:val="18"/>
          <w:lang w:val="en-US"/>
        </w:rPr>
        <w:tab/>
        <w:t>an analysis or report on a financial product without any express or implied recommendation, guidance or proposal that any particular transaction in respect of the product is appropriate to the particular investment objectives, financial situation or particular needs of a client;</w:t>
      </w:r>
    </w:p>
    <w:p w14:paraId="29855393" w14:textId="3C302753" w:rsidR="00CE0C08" w:rsidRPr="005F5C8A" w:rsidRDefault="00CE0C08" w:rsidP="00CE0C08">
      <w:pPr>
        <w:pStyle w:val="FootnoteText"/>
        <w:spacing w:after="60" w:line="240" w:lineRule="auto"/>
        <w:ind w:left="567" w:firstLine="426"/>
        <w:rPr>
          <w:i/>
          <w:iCs/>
          <w:sz w:val="18"/>
          <w:szCs w:val="18"/>
          <w:lang w:val="en-US"/>
        </w:rPr>
      </w:pPr>
      <w:r w:rsidRPr="005F5C8A">
        <w:rPr>
          <w:i/>
          <w:iCs/>
          <w:sz w:val="18"/>
          <w:szCs w:val="18"/>
          <w:lang w:val="en-US"/>
        </w:rPr>
        <w:t>(iii)</w:t>
      </w:r>
      <w:r w:rsidRPr="005F5C8A">
        <w:rPr>
          <w:i/>
          <w:iCs/>
          <w:sz w:val="18"/>
          <w:szCs w:val="18"/>
          <w:lang w:val="en-US"/>
        </w:rPr>
        <w:tab/>
        <w:t>advice given by-</w:t>
      </w:r>
    </w:p>
    <w:p w14:paraId="7AE3FFB2" w14:textId="1F5B5313" w:rsidR="00CE0C08" w:rsidRPr="005F5C8A" w:rsidRDefault="00CE0C08" w:rsidP="00CE0C08">
      <w:pPr>
        <w:pStyle w:val="FootnoteText"/>
        <w:spacing w:after="60" w:line="240" w:lineRule="auto"/>
        <w:ind w:left="1985" w:hanging="567"/>
        <w:rPr>
          <w:i/>
          <w:iCs/>
          <w:sz w:val="18"/>
          <w:szCs w:val="18"/>
          <w:lang w:val="en-US"/>
        </w:rPr>
      </w:pPr>
      <w:r w:rsidRPr="005F5C8A">
        <w:rPr>
          <w:i/>
          <w:iCs/>
          <w:sz w:val="18"/>
          <w:szCs w:val="18"/>
          <w:lang w:val="en-US"/>
        </w:rPr>
        <w:t>(aa)</w:t>
      </w:r>
      <w:r w:rsidRPr="005F5C8A">
        <w:rPr>
          <w:i/>
          <w:iCs/>
          <w:sz w:val="18"/>
          <w:szCs w:val="18"/>
          <w:lang w:val="en-US"/>
        </w:rPr>
        <w:tab/>
        <w:t>the board of management, or any board member, of any pension fund organisation or friendly society referred to in paragraph (d) of the definition of 'financial product' in subsection (1) to the members of the organisation or society on benefits enjoyed or to be enjoyed by such members; or</w:t>
      </w:r>
    </w:p>
    <w:p w14:paraId="17D552F1" w14:textId="0D8ED27A" w:rsidR="00CE0C08" w:rsidRPr="005F5C8A" w:rsidRDefault="00CE0C08" w:rsidP="00CE0C08">
      <w:pPr>
        <w:pStyle w:val="FootnoteText"/>
        <w:spacing w:after="60" w:line="240" w:lineRule="auto"/>
        <w:ind w:left="1985" w:hanging="567"/>
        <w:rPr>
          <w:i/>
          <w:iCs/>
          <w:sz w:val="18"/>
          <w:szCs w:val="18"/>
          <w:lang w:val="en-US"/>
        </w:rPr>
      </w:pPr>
      <w:r w:rsidRPr="005F5C8A">
        <w:rPr>
          <w:i/>
          <w:iCs/>
          <w:sz w:val="18"/>
          <w:szCs w:val="18"/>
          <w:lang w:val="en-US"/>
        </w:rPr>
        <w:t>(bb)</w:t>
      </w:r>
      <w:r w:rsidRPr="005F5C8A">
        <w:rPr>
          <w:i/>
          <w:iCs/>
          <w:sz w:val="18"/>
          <w:szCs w:val="18"/>
          <w:lang w:val="en-US"/>
        </w:rPr>
        <w:tab/>
        <w:t>the board of trustees of any medical scheme referred to in paragraph (g) of the said definition of 'financial product', or any board member, to the members of the medical scheme, on health care benefits enjoyed or to be enjoyed by such members; or</w:t>
      </w:r>
    </w:p>
    <w:p w14:paraId="1613F151" w14:textId="21FEF757" w:rsidR="00CE0C08" w:rsidRPr="005F5C8A" w:rsidRDefault="00CE0C08" w:rsidP="00A77B3D">
      <w:pPr>
        <w:pStyle w:val="FootnoteText"/>
        <w:spacing w:after="120" w:line="240" w:lineRule="auto"/>
        <w:ind w:left="1417" w:hanging="425"/>
        <w:rPr>
          <w:i/>
          <w:iCs/>
          <w:sz w:val="18"/>
          <w:szCs w:val="18"/>
          <w:lang w:val="en-US"/>
        </w:rPr>
      </w:pPr>
      <w:r w:rsidRPr="005F5C8A">
        <w:rPr>
          <w:i/>
          <w:iCs/>
          <w:sz w:val="18"/>
          <w:szCs w:val="18"/>
          <w:lang w:val="en-US"/>
        </w:rPr>
        <w:t>(iv)</w:t>
      </w:r>
      <w:r w:rsidRPr="005F5C8A">
        <w:rPr>
          <w:i/>
          <w:iCs/>
          <w:sz w:val="18"/>
          <w:szCs w:val="18"/>
          <w:lang w:val="en-US"/>
        </w:rPr>
        <w:tab/>
        <w:t>any other advisory activity exempted from the provisions of this Act by the registrar by notice in the Gazette”.</w:t>
      </w:r>
    </w:p>
  </w:footnote>
  <w:footnote w:id="8">
    <w:p w14:paraId="147E4124" w14:textId="39437EE1" w:rsidR="00A77B3D" w:rsidRDefault="00A77B3D" w:rsidP="00A77B3D">
      <w:pPr>
        <w:pStyle w:val="FootnoteText"/>
        <w:spacing w:after="60" w:line="240" w:lineRule="auto"/>
        <w:ind w:left="284" w:hanging="284"/>
        <w:rPr>
          <w:lang w:val="en-US"/>
        </w:rPr>
      </w:pPr>
      <w:r>
        <w:rPr>
          <w:rStyle w:val="FootnoteReference"/>
        </w:rPr>
        <w:footnoteRef/>
      </w:r>
      <w:r>
        <w:t xml:space="preserve"> </w:t>
      </w:r>
      <w:r>
        <w:rPr>
          <w:lang w:val="en-US"/>
        </w:rPr>
        <w:tab/>
        <w:t>S</w:t>
      </w:r>
      <w:r w:rsidR="003858BB">
        <w:rPr>
          <w:lang w:val="en-US"/>
        </w:rPr>
        <w:t>ubs</w:t>
      </w:r>
      <w:r>
        <w:rPr>
          <w:lang w:val="en-US"/>
        </w:rPr>
        <w:t xml:space="preserve">ection </w:t>
      </w:r>
      <w:r w:rsidR="003858BB">
        <w:rPr>
          <w:lang w:val="en-US"/>
        </w:rPr>
        <w:t>1(3)</w:t>
      </w:r>
      <w:r>
        <w:rPr>
          <w:lang w:val="en-US"/>
        </w:rPr>
        <w:t>(</w:t>
      </w:r>
      <w:r w:rsidRPr="00A77B3D">
        <w:rPr>
          <w:i/>
          <w:iCs/>
          <w:lang w:val="en-US"/>
        </w:rPr>
        <w:t>b</w:t>
      </w:r>
      <w:r>
        <w:rPr>
          <w:lang w:val="en-US"/>
        </w:rPr>
        <w:t xml:space="preserve">) is clearly not applicable </w:t>
      </w:r>
      <w:r w:rsidR="003858BB">
        <w:rPr>
          <w:lang w:val="en-US"/>
        </w:rPr>
        <w:t>in this case</w:t>
      </w:r>
      <w:r>
        <w:rPr>
          <w:lang w:val="en-US"/>
        </w:rPr>
        <w:t>. It provides that:</w:t>
      </w:r>
    </w:p>
    <w:p w14:paraId="3F6F2B16" w14:textId="3A7252D2" w:rsidR="00A77B3D" w:rsidRPr="005F5C8A" w:rsidRDefault="005F5C8A" w:rsidP="00A77B3D">
      <w:pPr>
        <w:pStyle w:val="FootnoteText"/>
        <w:spacing w:after="60" w:line="240" w:lineRule="auto"/>
        <w:ind w:left="284" w:firstLine="283"/>
        <w:rPr>
          <w:i/>
          <w:iCs/>
          <w:sz w:val="18"/>
          <w:szCs w:val="18"/>
          <w:lang w:val="en-US"/>
        </w:rPr>
      </w:pPr>
      <w:r w:rsidRPr="005F5C8A">
        <w:rPr>
          <w:i/>
          <w:iCs/>
          <w:sz w:val="18"/>
          <w:szCs w:val="18"/>
          <w:lang w:val="en-US"/>
        </w:rPr>
        <w:t>‘</w:t>
      </w:r>
      <w:r w:rsidR="00A77B3D" w:rsidRPr="005F5C8A">
        <w:rPr>
          <w:i/>
          <w:iCs/>
          <w:sz w:val="18"/>
          <w:szCs w:val="18"/>
          <w:lang w:val="en-US"/>
        </w:rPr>
        <w:t>intermediary service does not include-</w:t>
      </w:r>
    </w:p>
    <w:p w14:paraId="26D4CCA0" w14:textId="7965C62C" w:rsidR="00A77B3D" w:rsidRPr="005F5C8A" w:rsidRDefault="00A77B3D" w:rsidP="00A77B3D">
      <w:pPr>
        <w:pStyle w:val="FootnoteText"/>
        <w:tabs>
          <w:tab w:val="left" w:pos="993"/>
        </w:tabs>
        <w:spacing w:after="60" w:line="240" w:lineRule="auto"/>
        <w:ind w:left="993" w:hanging="426"/>
        <w:rPr>
          <w:i/>
          <w:iCs/>
          <w:sz w:val="18"/>
          <w:szCs w:val="18"/>
          <w:lang w:val="en-US"/>
        </w:rPr>
      </w:pPr>
      <w:r w:rsidRPr="005F5C8A">
        <w:rPr>
          <w:i/>
          <w:iCs/>
          <w:sz w:val="18"/>
          <w:szCs w:val="18"/>
          <w:lang w:val="en-US"/>
        </w:rPr>
        <w:t>(i)</w:t>
      </w:r>
      <w:r w:rsidRPr="005F5C8A">
        <w:rPr>
          <w:i/>
          <w:iCs/>
          <w:sz w:val="18"/>
          <w:szCs w:val="18"/>
          <w:lang w:val="en-US"/>
        </w:rPr>
        <w:tab/>
        <w:t>the rendering by a bank, mutual bank or co-operative bank of a service contemplated in paragraph (b) (ii) of the definition of 'intermediary service' where the bank, mutual bank or co-operative bank acts merely as a conduit between a client and another product supplier;</w:t>
      </w:r>
    </w:p>
    <w:p w14:paraId="38BA5DBE" w14:textId="0790D47F" w:rsidR="00A77B3D" w:rsidRPr="005F5C8A" w:rsidRDefault="00A77B3D" w:rsidP="00A77B3D">
      <w:pPr>
        <w:pStyle w:val="FootnoteText"/>
        <w:tabs>
          <w:tab w:val="left" w:pos="993"/>
        </w:tabs>
        <w:spacing w:after="60" w:line="240" w:lineRule="auto"/>
        <w:ind w:left="993" w:hanging="426"/>
        <w:rPr>
          <w:i/>
          <w:iCs/>
          <w:sz w:val="18"/>
          <w:szCs w:val="18"/>
          <w:lang w:val="en-US"/>
        </w:rPr>
      </w:pPr>
      <w:r w:rsidRPr="005F5C8A">
        <w:rPr>
          <w:i/>
          <w:iCs/>
          <w:sz w:val="18"/>
          <w:szCs w:val="18"/>
          <w:lang w:val="en-US"/>
        </w:rPr>
        <w:t>(ii)</w:t>
      </w:r>
      <w:r w:rsidRPr="005F5C8A">
        <w:rPr>
          <w:i/>
          <w:iCs/>
          <w:sz w:val="18"/>
          <w:szCs w:val="18"/>
          <w:lang w:val="en-US"/>
        </w:rPr>
        <w:tab/>
        <w:t>an intermediary service rendered by a product supplier-</w:t>
      </w:r>
    </w:p>
    <w:p w14:paraId="60AB10D9" w14:textId="1DBC33A1" w:rsidR="00A77B3D" w:rsidRPr="005F5C8A" w:rsidRDefault="00A77B3D" w:rsidP="00A77B3D">
      <w:pPr>
        <w:pStyle w:val="FootnoteText"/>
        <w:spacing w:after="60" w:line="240" w:lineRule="auto"/>
        <w:ind w:left="1418" w:hanging="425"/>
        <w:rPr>
          <w:i/>
          <w:iCs/>
          <w:sz w:val="18"/>
          <w:szCs w:val="18"/>
          <w:lang w:val="en-US"/>
        </w:rPr>
      </w:pPr>
      <w:r w:rsidRPr="005F5C8A">
        <w:rPr>
          <w:i/>
          <w:iCs/>
          <w:sz w:val="18"/>
          <w:szCs w:val="18"/>
          <w:lang w:val="en-US"/>
        </w:rPr>
        <w:t>(aa)</w:t>
      </w:r>
      <w:r w:rsidRPr="005F5C8A">
        <w:rPr>
          <w:i/>
          <w:iCs/>
          <w:sz w:val="18"/>
          <w:szCs w:val="18"/>
          <w:lang w:val="en-US"/>
        </w:rPr>
        <w:tab/>
        <w:t>who is authorised under a particular law to conduct business as a financial institution; and</w:t>
      </w:r>
    </w:p>
    <w:p w14:paraId="1DB231F8" w14:textId="5815642E" w:rsidR="00A77B3D" w:rsidRPr="005F5C8A" w:rsidRDefault="00A77B3D" w:rsidP="00A77B3D">
      <w:pPr>
        <w:pStyle w:val="FootnoteText"/>
        <w:spacing w:after="60" w:line="240" w:lineRule="auto"/>
        <w:ind w:left="1418" w:hanging="425"/>
        <w:rPr>
          <w:i/>
          <w:iCs/>
          <w:sz w:val="18"/>
          <w:szCs w:val="18"/>
          <w:lang w:val="en-US"/>
        </w:rPr>
      </w:pPr>
      <w:r w:rsidRPr="005F5C8A">
        <w:rPr>
          <w:i/>
          <w:iCs/>
          <w:sz w:val="18"/>
          <w:szCs w:val="18"/>
          <w:lang w:val="en-US"/>
        </w:rPr>
        <w:t>(bb)</w:t>
      </w:r>
      <w:r w:rsidRPr="005F5C8A">
        <w:rPr>
          <w:i/>
          <w:iCs/>
          <w:sz w:val="18"/>
          <w:szCs w:val="18"/>
          <w:lang w:val="en-US"/>
        </w:rPr>
        <w:tab/>
        <w:t>where the rendering of such service is regulated by or under such law;</w:t>
      </w:r>
    </w:p>
    <w:p w14:paraId="246AB5D2" w14:textId="3ADA3565" w:rsidR="00A77B3D" w:rsidRPr="005F5C8A" w:rsidRDefault="00A77B3D" w:rsidP="00A77B3D">
      <w:pPr>
        <w:pStyle w:val="FootnoteText"/>
        <w:spacing w:after="120" w:line="240" w:lineRule="auto"/>
        <w:ind w:left="993" w:hanging="426"/>
        <w:rPr>
          <w:i/>
          <w:iCs/>
          <w:sz w:val="18"/>
          <w:szCs w:val="18"/>
          <w:lang w:val="en-US"/>
        </w:rPr>
      </w:pPr>
      <w:r w:rsidRPr="005F5C8A">
        <w:rPr>
          <w:i/>
          <w:iCs/>
          <w:sz w:val="18"/>
          <w:szCs w:val="18"/>
          <w:lang w:val="en-US"/>
        </w:rPr>
        <w:t>(iii)</w:t>
      </w:r>
      <w:r w:rsidRPr="005F5C8A">
        <w:rPr>
          <w:i/>
          <w:iCs/>
          <w:sz w:val="18"/>
          <w:szCs w:val="18"/>
          <w:lang w:val="en-US"/>
        </w:rPr>
        <w:tab/>
        <w:t>any other service exempted from the provisions of this Act by the registrar by notice in the Gazette</w:t>
      </w:r>
      <w:r w:rsidR="005F5C8A" w:rsidRPr="005F5C8A">
        <w:rPr>
          <w:i/>
          <w:iCs/>
          <w:sz w:val="18"/>
          <w:szCs w:val="18"/>
          <w:lang w:val="en-US"/>
        </w:rPr>
        <w:t>.’</w:t>
      </w:r>
    </w:p>
  </w:footnote>
  <w:footnote w:id="9">
    <w:p w14:paraId="56EC9914" w14:textId="0FD96350" w:rsidR="00CD0C2E" w:rsidRPr="00CD0C2E" w:rsidRDefault="00CD0C2E" w:rsidP="00CD0C2E">
      <w:pPr>
        <w:pStyle w:val="FootnoteText"/>
        <w:spacing w:after="120" w:line="240" w:lineRule="auto"/>
        <w:ind w:left="284" w:hanging="284"/>
        <w:rPr>
          <w:lang w:val="en-US"/>
        </w:rPr>
      </w:pPr>
      <w:r>
        <w:rPr>
          <w:rStyle w:val="FootnoteReference"/>
        </w:rPr>
        <w:footnoteRef/>
      </w:r>
      <w:r>
        <w:t xml:space="preserve"> </w:t>
      </w:r>
      <w:r>
        <w:rPr>
          <w:lang w:val="en-US"/>
        </w:rPr>
        <w:tab/>
        <w:t xml:space="preserve">For example, </w:t>
      </w:r>
      <w:r w:rsidR="00356C2D" w:rsidRPr="00CD0C2E">
        <w:rPr>
          <w:i/>
          <w:iCs/>
          <w:lang w:val="en-US"/>
        </w:rPr>
        <w:t>Standard Bank v Estate van Rhyn</w:t>
      </w:r>
      <w:r w:rsidR="00356C2D">
        <w:rPr>
          <w:lang w:val="en-US"/>
        </w:rPr>
        <w:t xml:space="preserve"> 1925 AD 266 at 274-275;</w:t>
      </w:r>
      <w:r w:rsidR="00356C2D" w:rsidRPr="00356C2D">
        <w:rPr>
          <w:i/>
          <w:iCs/>
          <w:lang w:val="en-US"/>
        </w:rPr>
        <w:t xml:space="preserve"> </w:t>
      </w:r>
      <w:r w:rsidR="00356C2D" w:rsidRPr="00CD0C2E">
        <w:rPr>
          <w:i/>
          <w:iCs/>
          <w:lang w:val="en-US"/>
        </w:rPr>
        <w:t>Schierhout v Minister of Justice</w:t>
      </w:r>
      <w:r w:rsidR="00356C2D">
        <w:rPr>
          <w:lang w:val="en-US"/>
        </w:rPr>
        <w:t xml:space="preserve"> 1926 AD 99 at 109; </w:t>
      </w:r>
      <w:r w:rsidRPr="00CD0C2E">
        <w:rPr>
          <w:i/>
          <w:iCs/>
          <w:lang w:val="en-US"/>
        </w:rPr>
        <w:t>Schutz and De Jager v Edelstein</w:t>
      </w:r>
      <w:r>
        <w:rPr>
          <w:lang w:val="en-US"/>
        </w:rPr>
        <w:t xml:space="preserve"> 1942 CPD 126 at 131-132; </w:t>
      </w:r>
      <w:r w:rsidRPr="00CD0C2E">
        <w:rPr>
          <w:i/>
          <w:iCs/>
          <w:lang w:val="en-US"/>
        </w:rPr>
        <w:t>Pottie v Kotze</w:t>
      </w:r>
      <w:r>
        <w:rPr>
          <w:lang w:val="en-US"/>
        </w:rPr>
        <w:t xml:space="preserve"> 1954 (3) SA 719 (A) at 726-727; </w:t>
      </w:r>
      <w:r w:rsidR="00356C2D" w:rsidRPr="00356C2D">
        <w:rPr>
          <w:i/>
          <w:iCs/>
          <w:lang w:val="en-US"/>
        </w:rPr>
        <w:t>De Faria v Sheriff, High Court, Witbank</w:t>
      </w:r>
      <w:r w:rsidR="00356C2D">
        <w:rPr>
          <w:lang w:val="en-US"/>
        </w:rPr>
        <w:t xml:space="preserve"> 2005 (3) SA 372 (T) at 397; </w:t>
      </w:r>
      <w:r>
        <w:rPr>
          <w:lang w:val="en-US"/>
        </w:rPr>
        <w:t xml:space="preserve">and, see more generally, Bradfield </w:t>
      </w:r>
      <w:r w:rsidRPr="00CD0C2E">
        <w:rPr>
          <w:i/>
          <w:iCs/>
          <w:lang w:val="en-US"/>
        </w:rPr>
        <w:t>Christie’s Law of Contract in South Africa</w:t>
      </w:r>
      <w:r>
        <w:rPr>
          <w:lang w:val="en-US"/>
        </w:rPr>
        <w:t xml:space="preserve"> </w:t>
      </w:r>
      <w:r w:rsidR="00BE6129">
        <w:rPr>
          <w:lang w:val="en-US"/>
        </w:rPr>
        <w:t>8</w:t>
      </w:r>
      <w:r>
        <w:rPr>
          <w:lang w:val="en-US"/>
        </w:rPr>
        <w:t>ed pp </w:t>
      </w:r>
      <w:r w:rsidR="00BE6129">
        <w:rPr>
          <w:lang w:val="en-US"/>
        </w:rPr>
        <w:t>414</w:t>
      </w:r>
      <w:r>
        <w:rPr>
          <w:lang w:val="en-US"/>
        </w:rPr>
        <w:t>-</w:t>
      </w:r>
      <w:r w:rsidR="00AB0688">
        <w:rPr>
          <w:lang w:val="en-US"/>
        </w:rPr>
        <w:t>419</w:t>
      </w:r>
      <w:r>
        <w:rPr>
          <w:lang w:val="en-US"/>
        </w:rPr>
        <w:t>.</w:t>
      </w:r>
    </w:p>
  </w:footnote>
  <w:footnote w:id="10">
    <w:p w14:paraId="3FC1A8FD" w14:textId="3EA09C41" w:rsidR="0023218E" w:rsidRPr="0023218E" w:rsidRDefault="0023218E" w:rsidP="0023218E">
      <w:pPr>
        <w:pStyle w:val="FootnoteText"/>
        <w:spacing w:after="120" w:line="240" w:lineRule="auto"/>
        <w:ind w:left="284" w:hanging="284"/>
        <w:rPr>
          <w:lang w:val="en-US"/>
        </w:rPr>
      </w:pPr>
      <w:r>
        <w:rPr>
          <w:rStyle w:val="FootnoteReference"/>
        </w:rPr>
        <w:footnoteRef/>
      </w:r>
      <w:r>
        <w:t xml:space="preserve"> </w:t>
      </w:r>
      <w:r>
        <w:rPr>
          <w:lang w:val="en-US"/>
        </w:rPr>
        <w:tab/>
        <w:t xml:space="preserve">Resulting in clause </w:t>
      </w:r>
      <w:r w:rsidRPr="0023218E">
        <w:rPr>
          <w:i/>
          <w:iCs/>
          <w:lang w:val="en-US"/>
        </w:rPr>
        <w:t>(c)</w:t>
      </w:r>
      <w:r>
        <w:rPr>
          <w:lang w:val="en-US"/>
        </w:rPr>
        <w:t xml:space="preserve"> reading as follows: “on the conclusion of any other transaction, including a loan or cession, aimed at the incurring of any liability, or the acquisition of any right or benefit, in respect of any financial product”.</w:t>
      </w:r>
    </w:p>
  </w:footnote>
  <w:footnote w:id="11">
    <w:p w14:paraId="5CAAC0B0" w14:textId="0A66E4B2" w:rsidR="00B8323D" w:rsidRPr="00B8323D" w:rsidRDefault="00B8323D" w:rsidP="00B8323D">
      <w:pPr>
        <w:pStyle w:val="FootnoteText"/>
        <w:spacing w:after="120" w:line="240" w:lineRule="auto"/>
        <w:ind w:left="284" w:hanging="284"/>
        <w:rPr>
          <w:lang w:val="en-US"/>
        </w:rPr>
      </w:pPr>
      <w:r>
        <w:rPr>
          <w:rStyle w:val="FootnoteReference"/>
        </w:rPr>
        <w:footnoteRef/>
      </w:r>
      <w:r>
        <w:t xml:space="preserve"> </w:t>
      </w:r>
      <w:r>
        <w:rPr>
          <w:lang w:val="en-US"/>
        </w:rPr>
        <w:tab/>
      </w:r>
      <w:r>
        <w:rPr>
          <w:rFonts w:cs="Arial"/>
        </w:rPr>
        <w:t>While Van Dyk was, according to the particulars, “obliged to assist the defendant in securing financing for the defendant’s various property development projects”, this was merely “by referring and introducing the defendant to financial financiers”, not in making any representations about what finance might be provided.</w:t>
      </w:r>
    </w:p>
  </w:footnote>
  <w:footnote w:id="12">
    <w:p w14:paraId="00A58D6A" w14:textId="77777777" w:rsidR="00E91542" w:rsidRDefault="00E91542" w:rsidP="00E91542">
      <w:pPr>
        <w:pStyle w:val="FootnoteText"/>
        <w:spacing w:after="60" w:line="240" w:lineRule="auto"/>
        <w:ind w:left="284" w:hanging="284"/>
        <w:rPr>
          <w:rFonts w:cs="Arial"/>
        </w:rPr>
      </w:pPr>
      <w:r>
        <w:rPr>
          <w:rStyle w:val="FootnoteReference"/>
        </w:rPr>
        <w:footnoteRef/>
      </w:r>
      <w:r>
        <w:t xml:space="preserve"> </w:t>
      </w:r>
      <w:r>
        <w:tab/>
      </w:r>
      <w:r>
        <w:rPr>
          <w:rFonts w:cs="Arial"/>
        </w:rPr>
        <w:t>I might add that, even if one were to assume for the sake of argument that the loan agreement with Salicure constituted a financial product (which I do not consider to be the case) and that Van Dyk would have made statements about the loan agreement (which would also be wrong, as that would constitute impermissible speculation at the exception stage), one could still not conclude that any statements that Van Dyk may have made in respect of the loan agreement, or the conclusion thereof, constituted “advice”, as they could have fallen within the ambit of “factual advice” covered by subsection 1(3)(</w:t>
      </w:r>
      <w:r w:rsidRPr="00E31D9F">
        <w:rPr>
          <w:rFonts w:cs="Arial"/>
          <w:i/>
          <w:iCs/>
        </w:rPr>
        <w:t>a</w:t>
      </w:r>
      <w:r>
        <w:rPr>
          <w:rFonts w:cs="Arial"/>
        </w:rPr>
        <w:t>) of the FAIS Act, and thus have fallen outside of the definition of “advice”, pursuant to the qualification in the opening line of that definition.</w:t>
      </w:r>
    </w:p>
    <w:p w14:paraId="6A2EDD25" w14:textId="4A8EBB27" w:rsidR="00E91542" w:rsidRPr="00D3501B" w:rsidRDefault="00E91542" w:rsidP="00E91542">
      <w:pPr>
        <w:pStyle w:val="FootnoteText"/>
        <w:spacing w:after="120" w:line="240" w:lineRule="auto"/>
        <w:ind w:left="284"/>
        <w:rPr>
          <w:lang w:val="en-US"/>
        </w:rPr>
      </w:pPr>
      <w:r>
        <w:rPr>
          <w:rFonts w:cs="Arial"/>
        </w:rPr>
        <w:t>(</w:t>
      </w:r>
      <w:r>
        <w:rPr>
          <w:lang w:val="en-US"/>
        </w:rPr>
        <w:t xml:space="preserve">As evident from the definition of “advice” as quoted in paragraph </w:t>
      </w:r>
      <w:r>
        <w:rPr>
          <w:lang w:val="en-US"/>
        </w:rPr>
        <w:fldChar w:fldCharType="begin"/>
      </w:r>
      <w:r>
        <w:rPr>
          <w:lang w:val="en-US"/>
        </w:rPr>
        <w:instrText xml:space="preserve"> REF _Ref175233828 \r \h </w:instrText>
      </w:r>
      <w:r>
        <w:rPr>
          <w:lang w:val="en-US"/>
        </w:rPr>
      </w:r>
      <w:r>
        <w:rPr>
          <w:lang w:val="en-US"/>
        </w:rPr>
        <w:fldChar w:fldCharType="separate"/>
      </w:r>
      <w:r w:rsidR="00FC2BB2">
        <w:rPr>
          <w:lang w:val="en-US"/>
        </w:rPr>
        <w:t>[18]</w:t>
      </w:r>
      <w:r>
        <w:rPr>
          <w:lang w:val="en-US"/>
        </w:rPr>
        <w:fldChar w:fldCharType="end"/>
      </w:r>
      <w:r>
        <w:rPr>
          <w:lang w:val="en-US"/>
        </w:rPr>
        <w:t xml:space="preserve">, what follows in the definition is “subject to subsection (3) </w:t>
      </w:r>
      <w:r w:rsidRPr="0070557D">
        <w:rPr>
          <w:i/>
          <w:iCs/>
          <w:lang w:val="en-US"/>
        </w:rPr>
        <w:t>(a)</w:t>
      </w:r>
      <w:r>
        <w:rPr>
          <w:lang w:val="en-US"/>
        </w:rPr>
        <w:t xml:space="preserve">”. </w:t>
      </w:r>
      <w:r w:rsidRPr="00F05980">
        <w:t>While the expression “s</w:t>
      </w:r>
      <w:r w:rsidRPr="00F05980">
        <w:rPr>
          <w:i/>
          <w:iCs/>
        </w:rPr>
        <w:t xml:space="preserve">ubject </w:t>
      </w:r>
      <w:r w:rsidRPr="00F05980">
        <w:t>to” has no fixed</w:t>
      </w:r>
      <w:r>
        <w:rPr>
          <w:i/>
          <w:iCs/>
        </w:rPr>
        <w:t xml:space="preserve"> </w:t>
      </w:r>
      <w:r w:rsidRPr="00F05980">
        <w:t xml:space="preserve">meaning, it is often used to establish what is dominant and what is subservient, alternatively to mean “except as curtailed by”, which is what </w:t>
      </w:r>
      <w:r>
        <w:t xml:space="preserve">it was seemingly </w:t>
      </w:r>
      <w:r w:rsidRPr="00F05980">
        <w:t xml:space="preserve">intended to convey in this instance. See e.g., </w:t>
      </w:r>
      <w:r w:rsidRPr="00F05980">
        <w:rPr>
          <w:i/>
          <w:iCs/>
        </w:rPr>
        <w:t>Premier, Eastern Cape and Another v Sekeleni</w:t>
      </w:r>
      <w:r w:rsidRPr="00F05980">
        <w:t xml:space="preserve"> 2003 (4) SA 369 (SCA) para </w:t>
      </w:r>
      <w:r>
        <w:t>[</w:t>
      </w:r>
      <w:r w:rsidRPr="00F05980">
        <w:t>14</w:t>
      </w:r>
      <w:r>
        <w:t>]</w:t>
      </w:r>
      <w:r w:rsidRPr="00F05980">
        <w:t xml:space="preserve"> (and the cases cited there) and </w:t>
      </w:r>
      <w:r w:rsidRPr="00F05980">
        <w:rPr>
          <w:i/>
          <w:iCs/>
        </w:rPr>
        <w:t>Steve Tshwete Local Municipality v Fedbond Participation Mortgage Bond Managers (Pty) Ltd and Another</w:t>
      </w:r>
      <w:r w:rsidRPr="00F05980">
        <w:t xml:space="preserve"> 2013 (3) SA 611 (SCA) para </w:t>
      </w:r>
      <w:r>
        <w:t>[</w:t>
      </w:r>
      <w:r w:rsidRPr="00F05980">
        <w:t>19</w:t>
      </w:r>
      <w:r>
        <w:t>]</w:t>
      </w:r>
      <w:r w:rsidRPr="00F05980">
        <w:t>.)</w:t>
      </w:r>
    </w:p>
  </w:footnote>
  <w:footnote w:id="13">
    <w:p w14:paraId="2DDD5213" w14:textId="64E11472" w:rsidR="000C4C97" w:rsidRPr="000C4C97" w:rsidRDefault="000C4C97" w:rsidP="000C4C97">
      <w:pPr>
        <w:pStyle w:val="FootnoteText"/>
        <w:spacing w:after="120" w:line="240" w:lineRule="auto"/>
        <w:ind w:left="284" w:hanging="284"/>
        <w:rPr>
          <w:lang w:val="en-US"/>
        </w:rPr>
      </w:pPr>
      <w:r>
        <w:rPr>
          <w:rStyle w:val="FootnoteReference"/>
        </w:rPr>
        <w:footnoteRef/>
      </w:r>
      <w:r>
        <w:t xml:space="preserve"> </w:t>
      </w:r>
      <w:r>
        <w:rPr>
          <w:lang w:val="en-US"/>
        </w:rPr>
        <w:tab/>
      </w:r>
      <w:r w:rsidRPr="000C4C97">
        <w:rPr>
          <w:i/>
          <w:iCs/>
          <w:lang w:val="en-US"/>
        </w:rPr>
        <w:t>Atwealth (Pty) Ltd and Others v Kernick and Others</w:t>
      </w:r>
      <w:r>
        <w:rPr>
          <w:lang w:val="en-US"/>
        </w:rPr>
        <w:t xml:space="preserve"> 2019 (4) SA 420 (SCA).</w:t>
      </w:r>
    </w:p>
  </w:footnote>
  <w:footnote w:id="14">
    <w:p w14:paraId="649F1E38" w14:textId="662FC352" w:rsidR="00F10B4B" w:rsidRPr="00F10B4B" w:rsidRDefault="00F10B4B" w:rsidP="00F10B4B">
      <w:pPr>
        <w:pStyle w:val="FootnoteText"/>
        <w:spacing w:after="120" w:line="240" w:lineRule="auto"/>
        <w:ind w:left="284" w:hanging="284"/>
        <w:rPr>
          <w:lang w:val="en-US"/>
        </w:rPr>
      </w:pPr>
      <w:r>
        <w:rPr>
          <w:rStyle w:val="FootnoteReference"/>
        </w:rPr>
        <w:footnoteRef/>
      </w:r>
      <w:r>
        <w:t xml:space="preserve"> </w:t>
      </w:r>
      <w:r>
        <w:rPr>
          <w:lang w:val="en-US"/>
        </w:rPr>
        <w:tab/>
      </w:r>
      <w:r w:rsidRPr="00F10B4B">
        <w:rPr>
          <w:i/>
          <w:iCs/>
          <w:lang w:val="en-US"/>
        </w:rPr>
        <w:t>Atwealth</w:t>
      </w:r>
      <w:r>
        <w:rPr>
          <w:lang w:val="en-US"/>
        </w:rPr>
        <w:t xml:space="preserve"> para [11].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678391"/>
      <w:docPartObj>
        <w:docPartGallery w:val="Page Numbers (Top of Page)"/>
        <w:docPartUnique/>
      </w:docPartObj>
    </w:sdtPr>
    <w:sdtEndPr>
      <w:rPr>
        <w:noProof/>
      </w:rPr>
    </w:sdtEndPr>
    <w:sdtContent>
      <w:p w14:paraId="7047F65A" w14:textId="2F38FAE7" w:rsidR="008403AF" w:rsidRDefault="008403AF">
        <w:pPr>
          <w:pStyle w:val="Header"/>
          <w:jc w:val="center"/>
          <w:rPr>
            <w:noProof/>
          </w:rPr>
        </w:pPr>
        <w:r>
          <w:fldChar w:fldCharType="begin"/>
        </w:r>
        <w:r>
          <w:instrText xml:space="preserve"> PAGE   \* MERGEFORMAT </w:instrText>
        </w:r>
        <w:r>
          <w:fldChar w:fldCharType="separate"/>
        </w:r>
        <w:r w:rsidR="00ED6FE1">
          <w:rPr>
            <w:noProof/>
          </w:rPr>
          <w:t>2</w:t>
        </w:r>
        <w:r>
          <w:rPr>
            <w:noProof/>
          </w:rPr>
          <w:fldChar w:fldCharType="end"/>
        </w:r>
      </w:p>
      <w:p w14:paraId="5E2E90B8" w14:textId="1E8F088E" w:rsidR="008403AF" w:rsidRDefault="003E3D29">
        <w:pPr>
          <w:pStyle w:val="Header"/>
          <w:jc w:val="center"/>
        </w:pPr>
      </w:p>
    </w:sdtContent>
  </w:sdt>
  <w:p w14:paraId="66B9B253" w14:textId="7992A7DE" w:rsidR="00C4293B" w:rsidRPr="00C4293B" w:rsidRDefault="00C4293B" w:rsidP="00C4293B">
    <w:pPr>
      <w:pStyle w:val="Header"/>
      <w:jc w:val="right"/>
      <w:rPr>
        <w:b/>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30C24"/>
    <w:multiLevelType w:val="multilevel"/>
    <w:tmpl w:val="2C923F56"/>
    <w:lvl w:ilvl="0">
      <w:start w:val="1"/>
      <w:numFmt w:val="decimal"/>
      <w:pStyle w:val="ListParagraph"/>
      <w:lvlText w:val="[%1]"/>
      <w:lvlJc w:val="left"/>
      <w:pPr>
        <w:ind w:left="720" w:hanging="720"/>
      </w:pPr>
      <w:rPr>
        <w:rFonts w:ascii="Arial" w:hAnsi="Arial" w:hint="default"/>
        <w:b w:val="0"/>
        <w:i w:val="0"/>
        <w:iCs w:val="0"/>
        <w:sz w:val="24"/>
      </w:rPr>
    </w:lvl>
    <w:lvl w:ilvl="1">
      <w:start w:val="1"/>
      <w:numFmt w:val="decimal"/>
      <w:lvlText w:val="%1.%2."/>
      <w:lvlJc w:val="left"/>
      <w:pPr>
        <w:ind w:left="1440" w:hanging="720"/>
      </w:pPr>
      <w:rPr>
        <w:rFonts w:hint="default"/>
        <w:i w:val="0"/>
        <w:iCs w:val="0"/>
      </w:rPr>
    </w:lvl>
    <w:lvl w:ilvl="2">
      <w:start w:val="1"/>
      <w:numFmt w:val="decimal"/>
      <w:lvlText w:val="%1.%2.%3."/>
      <w:lvlJc w:val="left"/>
      <w:pPr>
        <w:ind w:left="2304" w:hanging="86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3E1D94"/>
    <w:multiLevelType w:val="hybridMultilevel"/>
    <w:tmpl w:val="392A8A82"/>
    <w:lvl w:ilvl="0" w:tplc="ECAADC8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D233C57"/>
    <w:multiLevelType w:val="hybridMultilevel"/>
    <w:tmpl w:val="6C742378"/>
    <w:lvl w:ilvl="0" w:tplc="F0BE34C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063614C"/>
    <w:multiLevelType w:val="multilevel"/>
    <w:tmpl w:val="9B9AD5D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304" w:hanging="86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EC32EAB"/>
    <w:multiLevelType w:val="multilevel"/>
    <w:tmpl w:val="95DC9ED8"/>
    <w:lvl w:ilvl="0">
      <w:start w:val="1"/>
      <w:numFmt w:val="decimal"/>
      <w:pStyle w:val="1"/>
      <w:lvlText w:val="%1"/>
      <w:lvlJc w:val="left"/>
      <w:pPr>
        <w:tabs>
          <w:tab w:val="num" w:pos="567"/>
        </w:tabs>
        <w:ind w:left="567" w:hanging="567"/>
      </w:pPr>
      <w:rPr>
        <w:rFonts w:hint="default"/>
        <w:b w:val="0"/>
        <w:i w:val="0"/>
      </w:rPr>
    </w:lvl>
    <w:lvl w:ilvl="1">
      <w:start w:val="1"/>
      <w:numFmt w:val="decimal"/>
      <w:pStyle w:val="2"/>
      <w:lvlText w:val="%1.%2"/>
      <w:lvlJc w:val="left"/>
      <w:pPr>
        <w:tabs>
          <w:tab w:val="num" w:pos="1361"/>
        </w:tabs>
        <w:ind w:left="1361" w:hanging="794"/>
      </w:pPr>
      <w:rPr>
        <w:rFonts w:ascii="Times New Roman" w:hAnsi="Times New Roman" w:cs="Times New Roman" w:hint="default"/>
        <w:b w:val="0"/>
        <w:i w:val="0"/>
      </w:rPr>
    </w:lvl>
    <w:lvl w:ilvl="2">
      <w:start w:val="1"/>
      <w:numFmt w:val="decimal"/>
      <w:pStyle w:val="3"/>
      <w:lvlText w:val="%1.%2.%3"/>
      <w:lvlJc w:val="left"/>
      <w:pPr>
        <w:tabs>
          <w:tab w:val="num" w:pos="2155"/>
        </w:tabs>
        <w:ind w:left="2155" w:hanging="794"/>
      </w:pPr>
      <w:rPr>
        <w:rFonts w:hint="default"/>
        <w:b w:val="0"/>
        <w:i w:val="0"/>
      </w:rPr>
    </w:lvl>
    <w:lvl w:ilvl="3">
      <w:start w:val="1"/>
      <w:numFmt w:val="lowerLetter"/>
      <w:pStyle w:val="4"/>
      <w:lvlText w:val="(%4)"/>
      <w:lvlJc w:val="left"/>
      <w:pPr>
        <w:tabs>
          <w:tab w:val="num" w:pos="2552"/>
        </w:tabs>
        <w:ind w:left="2552" w:hanging="397"/>
      </w:pPr>
      <w:rPr>
        <w:rFonts w:hint="default"/>
      </w:rPr>
    </w:lvl>
    <w:lvl w:ilvl="4">
      <w:start w:val="1"/>
      <w:numFmt w:val="lowerRoman"/>
      <w:pStyle w:val="5"/>
      <w:lvlText w:val="(%5)"/>
      <w:lvlJc w:val="left"/>
      <w:pPr>
        <w:tabs>
          <w:tab w:val="num" w:pos="3119"/>
        </w:tabs>
        <w:ind w:left="3119" w:hanging="567"/>
      </w:pPr>
      <w:rPr>
        <w:rFonts w:hint="default"/>
        <w:b w:val="0"/>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9B17BE5"/>
    <w:multiLevelType w:val="hybridMultilevel"/>
    <w:tmpl w:val="2DC66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EB2393"/>
    <w:multiLevelType w:val="multilevel"/>
    <w:tmpl w:val="B0AC573C"/>
    <w:lvl w:ilvl="0">
      <w:start w:val="1"/>
      <w:numFmt w:val="decimal"/>
      <w:pStyle w:val="Numberin1"/>
      <w:isLgl/>
      <w:lvlText w:val="%1."/>
      <w:lvlJc w:val="left"/>
      <w:pPr>
        <w:tabs>
          <w:tab w:val="num" w:pos="720"/>
        </w:tabs>
        <w:ind w:left="720" w:hanging="720"/>
      </w:pPr>
      <w:rPr>
        <w:rFonts w:ascii="Arial" w:eastAsia="Arial" w:hAnsi="Arial" w:cs="Times New Roman"/>
        <w:b w:val="0"/>
        <w:u w:val="none"/>
      </w:rPr>
    </w:lvl>
    <w:lvl w:ilvl="1">
      <w:start w:val="1"/>
      <w:numFmt w:val="decimal"/>
      <w:pStyle w:val="Numberin2"/>
      <w:isLgl/>
      <w:lvlText w:val="%1.%2"/>
      <w:lvlJc w:val="left"/>
      <w:pPr>
        <w:tabs>
          <w:tab w:val="num" w:pos="1656"/>
        </w:tabs>
        <w:ind w:left="1656" w:hanging="936"/>
      </w:pPr>
      <w:rPr>
        <w:rFonts w:ascii="Arial" w:hAnsi="Arial" w:cs="Arial" w:hint="default"/>
        <w:u w:val="none"/>
      </w:rPr>
    </w:lvl>
    <w:lvl w:ilvl="2">
      <w:start w:val="1"/>
      <w:numFmt w:val="decimal"/>
      <w:pStyle w:val="Numberin3"/>
      <w:isLgl/>
      <w:lvlText w:val="%1.%2.%3"/>
      <w:lvlJc w:val="left"/>
      <w:pPr>
        <w:tabs>
          <w:tab w:val="num" w:pos="2736"/>
        </w:tabs>
        <w:ind w:left="2736" w:hanging="1080"/>
      </w:pPr>
      <w:rPr>
        <w:rFonts w:ascii="Arial" w:hAnsi="Arial" w:cs="Arial" w:hint="default"/>
        <w:u w:val="none"/>
      </w:rPr>
    </w:lvl>
    <w:lvl w:ilvl="3">
      <w:start w:val="1"/>
      <w:numFmt w:val="decimal"/>
      <w:pStyle w:val="Numberin4"/>
      <w:isLgl/>
      <w:lvlText w:val="%1.%2.%3.%4"/>
      <w:lvlJc w:val="left"/>
      <w:pPr>
        <w:tabs>
          <w:tab w:val="num" w:pos="3600"/>
        </w:tabs>
        <w:ind w:left="3600" w:hanging="1440"/>
      </w:pPr>
      <w:rPr>
        <w:u w:val="none"/>
      </w:rPr>
    </w:lvl>
    <w:lvl w:ilvl="4">
      <w:start w:val="1"/>
      <w:numFmt w:val="decimal"/>
      <w:pStyle w:val="Numberin5"/>
      <w:isLgl/>
      <w:lvlText w:val="%1.%2.%3.%4.%5"/>
      <w:lvlJc w:val="left"/>
      <w:pPr>
        <w:tabs>
          <w:tab w:val="num" w:pos="4320"/>
        </w:tabs>
        <w:ind w:left="4320" w:hanging="1440"/>
      </w:pPr>
      <w:rPr>
        <w:u w:val="none"/>
      </w:rPr>
    </w:lvl>
    <w:lvl w:ilvl="5">
      <w:start w:val="1"/>
      <w:numFmt w:val="decimal"/>
      <w:pStyle w:val="Numberin6"/>
      <w:isLgl/>
      <w:lvlText w:val="%1.%2.%3.%4.%5.%6"/>
      <w:lvlJc w:val="left"/>
      <w:pPr>
        <w:tabs>
          <w:tab w:val="num" w:pos="5328"/>
        </w:tabs>
        <w:ind w:left="5328" w:hanging="1728"/>
      </w:pPr>
      <w:rPr>
        <w:u w:val="none"/>
      </w:rPr>
    </w:lvl>
    <w:lvl w:ilvl="6">
      <w:start w:val="1"/>
      <w:numFmt w:val="decimal"/>
      <w:pStyle w:val="Numberin7"/>
      <w:isLgl/>
      <w:lvlText w:val="%1.%2.%3.%4.%5.%6.%7"/>
      <w:lvlJc w:val="left"/>
      <w:pPr>
        <w:tabs>
          <w:tab w:val="num" w:pos="6192"/>
        </w:tabs>
        <w:ind w:left="6192" w:hanging="1872"/>
      </w:pPr>
      <w:rPr>
        <w:u w:val="none"/>
      </w:rPr>
    </w:lvl>
    <w:lvl w:ilvl="7">
      <w:start w:val="1"/>
      <w:numFmt w:val="decimal"/>
      <w:pStyle w:val="Numberin8"/>
      <w:isLgl/>
      <w:lvlText w:val="%1.%2.%3.%4.%5.%6.%7.%8"/>
      <w:lvlJc w:val="left"/>
      <w:pPr>
        <w:tabs>
          <w:tab w:val="num" w:pos="7128"/>
        </w:tabs>
        <w:ind w:left="7128" w:hanging="2088"/>
      </w:pPr>
      <w:rPr>
        <w:u w:val="none"/>
      </w:rPr>
    </w:lvl>
    <w:lvl w:ilvl="8">
      <w:start w:val="1"/>
      <w:numFmt w:val="decimal"/>
      <w:pStyle w:val="Numberin9"/>
      <w:isLgl/>
      <w:lvlText w:val="%1.%2.%3.%4.%5.%6.%7.%8.%9"/>
      <w:lvlJc w:val="left"/>
      <w:pPr>
        <w:tabs>
          <w:tab w:val="num" w:pos="8064"/>
        </w:tabs>
        <w:ind w:left="8064" w:hanging="2304"/>
      </w:pPr>
      <w:rPr>
        <w:u w:val="none"/>
      </w:rPr>
    </w:lvl>
  </w:abstractNum>
  <w:abstractNum w:abstractNumId="8" w15:restartNumberingAfterBreak="0">
    <w:nsid w:val="40E24D17"/>
    <w:multiLevelType w:val="hybridMultilevel"/>
    <w:tmpl w:val="BE5C6A52"/>
    <w:lvl w:ilvl="0" w:tplc="43CAF5E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D1316B4"/>
    <w:multiLevelType w:val="hybridMultilevel"/>
    <w:tmpl w:val="EF427336"/>
    <w:lvl w:ilvl="0" w:tplc="BEDEE77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1904785"/>
    <w:multiLevelType w:val="multilevel"/>
    <w:tmpl w:val="58621162"/>
    <w:lvl w:ilvl="0">
      <w:start w:val="1"/>
      <w:numFmt w:val="decimal"/>
      <w:lvlText w:val="%1."/>
      <w:lvlJc w:val="left"/>
      <w:pPr>
        <w:tabs>
          <w:tab w:val="num" w:pos="720"/>
        </w:tabs>
        <w:ind w:left="720" w:hanging="720"/>
      </w:pPr>
      <w:rPr>
        <w:rFonts w:cs="Times New Roman" w:hint="default"/>
        <w:b w:val="0"/>
      </w:rPr>
    </w:lvl>
    <w:lvl w:ilvl="1">
      <w:start w:val="1"/>
      <w:numFmt w:val="decimal"/>
      <w:lvlText w:val="%1.%2."/>
      <w:lvlJc w:val="left"/>
      <w:pPr>
        <w:tabs>
          <w:tab w:val="num" w:pos="1701"/>
        </w:tabs>
        <w:ind w:left="1701" w:hanging="981"/>
      </w:pPr>
      <w:rPr>
        <w:rFonts w:cs="Times New Roman" w:hint="default"/>
        <w:b w:val="0"/>
      </w:rPr>
    </w:lvl>
    <w:lvl w:ilvl="2">
      <w:start w:val="1"/>
      <w:numFmt w:val="decimal"/>
      <w:lvlText w:val="%1.%2.%3."/>
      <w:lvlJc w:val="left"/>
      <w:pPr>
        <w:tabs>
          <w:tab w:val="num" w:pos="2835"/>
        </w:tabs>
        <w:ind w:left="2835" w:hanging="1134"/>
      </w:pPr>
      <w:rPr>
        <w:rFonts w:cs="Times New Roman" w:hint="default"/>
      </w:rPr>
    </w:lvl>
    <w:lvl w:ilvl="3">
      <w:start w:val="1"/>
      <w:numFmt w:val="decimal"/>
      <w:lvlText w:val="%1.%2.%3.%4."/>
      <w:lvlJc w:val="left"/>
      <w:pPr>
        <w:tabs>
          <w:tab w:val="num" w:pos="1440"/>
        </w:tabs>
        <w:ind w:left="3119" w:hanging="90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56013B07"/>
    <w:multiLevelType w:val="hybridMultilevel"/>
    <w:tmpl w:val="3760C244"/>
    <w:lvl w:ilvl="0" w:tplc="21B0E9CC">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C66B64"/>
    <w:multiLevelType w:val="multilevel"/>
    <w:tmpl w:val="F8C41CA8"/>
    <w:lvl w:ilvl="0">
      <w:start w:val="1"/>
      <w:numFmt w:val="decimal"/>
      <w:pStyle w:val="List"/>
      <w:lvlText w:val="%1."/>
      <w:lvlJc w:val="left"/>
      <w:pPr>
        <w:ind w:left="851" w:hanging="851"/>
      </w:pPr>
      <w:rPr>
        <w:rFonts w:ascii="Arial" w:eastAsiaTheme="minorHAnsi" w:hAnsi="Arial" w:cs="Arial"/>
      </w:rPr>
    </w:lvl>
    <w:lvl w:ilvl="1">
      <w:start w:val="1"/>
      <w:numFmt w:val="decimal"/>
      <w:lvlText w:val="%1.%2."/>
      <w:lvlJc w:val="left"/>
      <w:pPr>
        <w:tabs>
          <w:tab w:val="num" w:pos="851"/>
        </w:tabs>
        <w:ind w:left="1701" w:hanging="850"/>
      </w:pPr>
      <w:rPr>
        <w:rFonts w:hint="default"/>
      </w:rPr>
    </w:lvl>
    <w:lvl w:ilvl="2">
      <w:start w:val="1"/>
      <w:numFmt w:val="decimal"/>
      <w:lvlText w:val="%1.%2.%3."/>
      <w:lvlJc w:val="left"/>
      <w:pPr>
        <w:ind w:left="2693" w:hanging="99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1"/>
  </w:num>
  <w:num w:numId="3">
    <w:abstractNumId w:val="7"/>
  </w:num>
  <w:num w:numId="4">
    <w:abstractNumId w:val="12"/>
  </w:num>
  <w:num w:numId="5">
    <w:abstractNumId w:val="4"/>
  </w:num>
  <w:num w:numId="6">
    <w:abstractNumId w:val="5"/>
  </w:num>
  <w:num w:numId="7">
    <w:abstractNumId w:val="6"/>
  </w:num>
  <w:num w:numId="8">
    <w:abstractNumId w:val="9"/>
  </w:num>
  <w:num w:numId="9">
    <w:abstractNumId w:val="3"/>
  </w:num>
  <w:num w:numId="10">
    <w:abstractNumId w:val="8"/>
  </w:num>
  <w:num w:numId="11">
    <w:abstractNumId w:val="1"/>
  </w:num>
  <w:num w:numId="12">
    <w:abstractNumId w:val="1"/>
  </w:num>
  <w:num w:numId="13">
    <w:abstractNumId w:val="1"/>
  </w:num>
  <w:num w:numId="14">
    <w:abstractNumId w:val="1"/>
  </w:num>
  <w:num w:numId="15">
    <w:abstractNumId w:val="0"/>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578"/>
    <w:rsid w:val="0000261D"/>
    <w:rsid w:val="00003314"/>
    <w:rsid w:val="000033CD"/>
    <w:rsid w:val="00003584"/>
    <w:rsid w:val="000056AD"/>
    <w:rsid w:val="00006260"/>
    <w:rsid w:val="00006D05"/>
    <w:rsid w:val="000070C2"/>
    <w:rsid w:val="00010E5C"/>
    <w:rsid w:val="00010F96"/>
    <w:rsid w:val="000117CF"/>
    <w:rsid w:val="00012E87"/>
    <w:rsid w:val="000138D7"/>
    <w:rsid w:val="00013E98"/>
    <w:rsid w:val="000141FA"/>
    <w:rsid w:val="00014284"/>
    <w:rsid w:val="00015C69"/>
    <w:rsid w:val="00015E85"/>
    <w:rsid w:val="000177B8"/>
    <w:rsid w:val="0002035E"/>
    <w:rsid w:val="00021A0C"/>
    <w:rsid w:val="00021D72"/>
    <w:rsid w:val="000220A3"/>
    <w:rsid w:val="0002510D"/>
    <w:rsid w:val="000263AA"/>
    <w:rsid w:val="0002646F"/>
    <w:rsid w:val="00026FAB"/>
    <w:rsid w:val="000276C6"/>
    <w:rsid w:val="00027B6A"/>
    <w:rsid w:val="00031CDD"/>
    <w:rsid w:val="0003231B"/>
    <w:rsid w:val="00033892"/>
    <w:rsid w:val="00033914"/>
    <w:rsid w:val="00033F07"/>
    <w:rsid w:val="0003415F"/>
    <w:rsid w:val="00034336"/>
    <w:rsid w:val="00035793"/>
    <w:rsid w:val="00036D93"/>
    <w:rsid w:val="00040730"/>
    <w:rsid w:val="00040F22"/>
    <w:rsid w:val="0004322C"/>
    <w:rsid w:val="00043237"/>
    <w:rsid w:val="00045771"/>
    <w:rsid w:val="00045EE1"/>
    <w:rsid w:val="00046B9A"/>
    <w:rsid w:val="0004748E"/>
    <w:rsid w:val="000504F1"/>
    <w:rsid w:val="0005077D"/>
    <w:rsid w:val="00050FC2"/>
    <w:rsid w:val="00053390"/>
    <w:rsid w:val="00055ABC"/>
    <w:rsid w:val="0005651C"/>
    <w:rsid w:val="000565D8"/>
    <w:rsid w:val="00056803"/>
    <w:rsid w:val="00057099"/>
    <w:rsid w:val="0006419D"/>
    <w:rsid w:val="00065766"/>
    <w:rsid w:val="00066BC4"/>
    <w:rsid w:val="00066ED9"/>
    <w:rsid w:val="0007085A"/>
    <w:rsid w:val="00070B28"/>
    <w:rsid w:val="0007197D"/>
    <w:rsid w:val="00072E6E"/>
    <w:rsid w:val="000737DE"/>
    <w:rsid w:val="000746F9"/>
    <w:rsid w:val="000815E5"/>
    <w:rsid w:val="000816E7"/>
    <w:rsid w:val="00081C8A"/>
    <w:rsid w:val="00081CC3"/>
    <w:rsid w:val="000827C0"/>
    <w:rsid w:val="00084650"/>
    <w:rsid w:val="000847D3"/>
    <w:rsid w:val="00086B6D"/>
    <w:rsid w:val="00086E64"/>
    <w:rsid w:val="00087D25"/>
    <w:rsid w:val="00087FC5"/>
    <w:rsid w:val="0009347F"/>
    <w:rsid w:val="00094337"/>
    <w:rsid w:val="00094F5F"/>
    <w:rsid w:val="00097248"/>
    <w:rsid w:val="000979D7"/>
    <w:rsid w:val="000A2913"/>
    <w:rsid w:val="000A6433"/>
    <w:rsid w:val="000A67DF"/>
    <w:rsid w:val="000A72E1"/>
    <w:rsid w:val="000A7931"/>
    <w:rsid w:val="000B193C"/>
    <w:rsid w:val="000B24A2"/>
    <w:rsid w:val="000B3069"/>
    <w:rsid w:val="000B5884"/>
    <w:rsid w:val="000B6288"/>
    <w:rsid w:val="000B62E5"/>
    <w:rsid w:val="000B7A55"/>
    <w:rsid w:val="000C1A6A"/>
    <w:rsid w:val="000C290A"/>
    <w:rsid w:val="000C4AEF"/>
    <w:rsid w:val="000C4C97"/>
    <w:rsid w:val="000C4EA4"/>
    <w:rsid w:val="000C50F8"/>
    <w:rsid w:val="000C758B"/>
    <w:rsid w:val="000D115C"/>
    <w:rsid w:val="000D11BC"/>
    <w:rsid w:val="000D18C1"/>
    <w:rsid w:val="000D1B39"/>
    <w:rsid w:val="000D27C4"/>
    <w:rsid w:val="000D34DA"/>
    <w:rsid w:val="000D3661"/>
    <w:rsid w:val="000D3E5F"/>
    <w:rsid w:val="000D5504"/>
    <w:rsid w:val="000D5780"/>
    <w:rsid w:val="000D5AED"/>
    <w:rsid w:val="000D781D"/>
    <w:rsid w:val="000E0E6A"/>
    <w:rsid w:val="000E141B"/>
    <w:rsid w:val="000E3A67"/>
    <w:rsid w:val="000E5512"/>
    <w:rsid w:val="000E5BFF"/>
    <w:rsid w:val="000E70CF"/>
    <w:rsid w:val="000E7E52"/>
    <w:rsid w:val="000F046E"/>
    <w:rsid w:val="000F31C3"/>
    <w:rsid w:val="000F4BEA"/>
    <w:rsid w:val="000F524E"/>
    <w:rsid w:val="001002CB"/>
    <w:rsid w:val="001032CB"/>
    <w:rsid w:val="0010724F"/>
    <w:rsid w:val="00107778"/>
    <w:rsid w:val="001118FB"/>
    <w:rsid w:val="00112334"/>
    <w:rsid w:val="00112978"/>
    <w:rsid w:val="001129AA"/>
    <w:rsid w:val="001140F2"/>
    <w:rsid w:val="00114F03"/>
    <w:rsid w:val="00116776"/>
    <w:rsid w:val="00116A05"/>
    <w:rsid w:val="00116CCA"/>
    <w:rsid w:val="0011780A"/>
    <w:rsid w:val="0012013E"/>
    <w:rsid w:val="001212B4"/>
    <w:rsid w:val="00122E5F"/>
    <w:rsid w:val="001241B4"/>
    <w:rsid w:val="00126000"/>
    <w:rsid w:val="00126D9C"/>
    <w:rsid w:val="00127E3F"/>
    <w:rsid w:val="001301A6"/>
    <w:rsid w:val="00134FB0"/>
    <w:rsid w:val="00136AB8"/>
    <w:rsid w:val="001370B9"/>
    <w:rsid w:val="00137BB1"/>
    <w:rsid w:val="001415A6"/>
    <w:rsid w:val="00141832"/>
    <w:rsid w:val="001421C6"/>
    <w:rsid w:val="00142B5A"/>
    <w:rsid w:val="00143CE8"/>
    <w:rsid w:val="00143F50"/>
    <w:rsid w:val="00144437"/>
    <w:rsid w:val="0014689A"/>
    <w:rsid w:val="00146C8A"/>
    <w:rsid w:val="00146DA2"/>
    <w:rsid w:val="00147C5E"/>
    <w:rsid w:val="0015014E"/>
    <w:rsid w:val="00153B7A"/>
    <w:rsid w:val="00154718"/>
    <w:rsid w:val="001559FD"/>
    <w:rsid w:val="00160F8A"/>
    <w:rsid w:val="00162DBF"/>
    <w:rsid w:val="00162F83"/>
    <w:rsid w:val="00166196"/>
    <w:rsid w:val="0016688D"/>
    <w:rsid w:val="00166C77"/>
    <w:rsid w:val="00166D64"/>
    <w:rsid w:val="00170312"/>
    <w:rsid w:val="0017072F"/>
    <w:rsid w:val="0017220E"/>
    <w:rsid w:val="0017325E"/>
    <w:rsid w:val="001737F6"/>
    <w:rsid w:val="00175BC3"/>
    <w:rsid w:val="00175BF7"/>
    <w:rsid w:val="00176E8D"/>
    <w:rsid w:val="0017708E"/>
    <w:rsid w:val="001800C6"/>
    <w:rsid w:val="00180691"/>
    <w:rsid w:val="001828CF"/>
    <w:rsid w:val="00183BE5"/>
    <w:rsid w:val="001840AA"/>
    <w:rsid w:val="001850FB"/>
    <w:rsid w:val="00186118"/>
    <w:rsid w:val="0019537B"/>
    <w:rsid w:val="001957DA"/>
    <w:rsid w:val="001979CD"/>
    <w:rsid w:val="001A0D96"/>
    <w:rsid w:val="001A0F66"/>
    <w:rsid w:val="001A2C40"/>
    <w:rsid w:val="001A3189"/>
    <w:rsid w:val="001A4A25"/>
    <w:rsid w:val="001A4FB3"/>
    <w:rsid w:val="001A587E"/>
    <w:rsid w:val="001A5FEF"/>
    <w:rsid w:val="001A6BD2"/>
    <w:rsid w:val="001A6C99"/>
    <w:rsid w:val="001A7B05"/>
    <w:rsid w:val="001B0794"/>
    <w:rsid w:val="001B39D8"/>
    <w:rsid w:val="001B4F93"/>
    <w:rsid w:val="001B582F"/>
    <w:rsid w:val="001B641A"/>
    <w:rsid w:val="001C07EE"/>
    <w:rsid w:val="001C08A5"/>
    <w:rsid w:val="001C1069"/>
    <w:rsid w:val="001C21EB"/>
    <w:rsid w:val="001C286F"/>
    <w:rsid w:val="001C358B"/>
    <w:rsid w:val="001C37CB"/>
    <w:rsid w:val="001C3A4F"/>
    <w:rsid w:val="001C3C90"/>
    <w:rsid w:val="001C473D"/>
    <w:rsid w:val="001C50A3"/>
    <w:rsid w:val="001D0EA0"/>
    <w:rsid w:val="001D1C57"/>
    <w:rsid w:val="001D30AA"/>
    <w:rsid w:val="001D520F"/>
    <w:rsid w:val="001D6C95"/>
    <w:rsid w:val="001D7DAF"/>
    <w:rsid w:val="001E1D30"/>
    <w:rsid w:val="001E3FBA"/>
    <w:rsid w:val="001E6F6B"/>
    <w:rsid w:val="001F40D8"/>
    <w:rsid w:val="001F472E"/>
    <w:rsid w:val="001F4810"/>
    <w:rsid w:val="001F4D7C"/>
    <w:rsid w:val="001F4EC7"/>
    <w:rsid w:val="001F54D6"/>
    <w:rsid w:val="001F5D1C"/>
    <w:rsid w:val="001F649F"/>
    <w:rsid w:val="0020052A"/>
    <w:rsid w:val="00202282"/>
    <w:rsid w:val="002023E6"/>
    <w:rsid w:val="002028C1"/>
    <w:rsid w:val="00202B2C"/>
    <w:rsid w:val="00203416"/>
    <w:rsid w:val="0020345C"/>
    <w:rsid w:val="002044BB"/>
    <w:rsid w:val="002061DC"/>
    <w:rsid w:val="0020648C"/>
    <w:rsid w:val="00206C63"/>
    <w:rsid w:val="00207C04"/>
    <w:rsid w:val="002112D5"/>
    <w:rsid w:val="002119D4"/>
    <w:rsid w:val="00213B27"/>
    <w:rsid w:val="00213E9D"/>
    <w:rsid w:val="00214D9C"/>
    <w:rsid w:val="0021592F"/>
    <w:rsid w:val="002160D3"/>
    <w:rsid w:val="00216F03"/>
    <w:rsid w:val="00217F2D"/>
    <w:rsid w:val="002204E8"/>
    <w:rsid w:val="002217F5"/>
    <w:rsid w:val="00225340"/>
    <w:rsid w:val="00226E37"/>
    <w:rsid w:val="0022723D"/>
    <w:rsid w:val="00227714"/>
    <w:rsid w:val="00230BAE"/>
    <w:rsid w:val="00230E3D"/>
    <w:rsid w:val="002319B1"/>
    <w:rsid w:val="00231EA3"/>
    <w:rsid w:val="0023218E"/>
    <w:rsid w:val="0023257E"/>
    <w:rsid w:val="0023336C"/>
    <w:rsid w:val="00234D56"/>
    <w:rsid w:val="002378CA"/>
    <w:rsid w:val="0024130C"/>
    <w:rsid w:val="00241C72"/>
    <w:rsid w:val="00241E6B"/>
    <w:rsid w:val="0024321B"/>
    <w:rsid w:val="00243DC0"/>
    <w:rsid w:val="00245B21"/>
    <w:rsid w:val="00245D25"/>
    <w:rsid w:val="002463D1"/>
    <w:rsid w:val="002502F9"/>
    <w:rsid w:val="00251481"/>
    <w:rsid w:val="00251BC4"/>
    <w:rsid w:val="00252868"/>
    <w:rsid w:val="002546C8"/>
    <w:rsid w:val="00254D35"/>
    <w:rsid w:val="002557D0"/>
    <w:rsid w:val="0025591D"/>
    <w:rsid w:val="00256125"/>
    <w:rsid w:val="00256373"/>
    <w:rsid w:val="002564BC"/>
    <w:rsid w:val="00256CED"/>
    <w:rsid w:val="00260031"/>
    <w:rsid w:val="00262903"/>
    <w:rsid w:val="002647CC"/>
    <w:rsid w:val="00265CC7"/>
    <w:rsid w:val="00266535"/>
    <w:rsid w:val="00266D85"/>
    <w:rsid w:val="0027164D"/>
    <w:rsid w:val="002723B5"/>
    <w:rsid w:val="00273867"/>
    <w:rsid w:val="00274351"/>
    <w:rsid w:val="00276841"/>
    <w:rsid w:val="00281A2A"/>
    <w:rsid w:val="00281DA4"/>
    <w:rsid w:val="00284154"/>
    <w:rsid w:val="0028458D"/>
    <w:rsid w:val="00285783"/>
    <w:rsid w:val="00285AF7"/>
    <w:rsid w:val="00286E1A"/>
    <w:rsid w:val="00287039"/>
    <w:rsid w:val="00287682"/>
    <w:rsid w:val="00287C25"/>
    <w:rsid w:val="00291CBC"/>
    <w:rsid w:val="002930F5"/>
    <w:rsid w:val="0029438E"/>
    <w:rsid w:val="00297E9E"/>
    <w:rsid w:val="002A1175"/>
    <w:rsid w:val="002A277A"/>
    <w:rsid w:val="002A2B27"/>
    <w:rsid w:val="002A3104"/>
    <w:rsid w:val="002A4ADC"/>
    <w:rsid w:val="002A4B53"/>
    <w:rsid w:val="002A5332"/>
    <w:rsid w:val="002A5E67"/>
    <w:rsid w:val="002A693A"/>
    <w:rsid w:val="002A7CD0"/>
    <w:rsid w:val="002B01C3"/>
    <w:rsid w:val="002B0227"/>
    <w:rsid w:val="002B039F"/>
    <w:rsid w:val="002B083A"/>
    <w:rsid w:val="002B121B"/>
    <w:rsid w:val="002B304B"/>
    <w:rsid w:val="002B42B2"/>
    <w:rsid w:val="002B43D6"/>
    <w:rsid w:val="002B46AA"/>
    <w:rsid w:val="002B7B1B"/>
    <w:rsid w:val="002C0418"/>
    <w:rsid w:val="002C0678"/>
    <w:rsid w:val="002C11BE"/>
    <w:rsid w:val="002C1791"/>
    <w:rsid w:val="002C1E68"/>
    <w:rsid w:val="002C485F"/>
    <w:rsid w:val="002C51E0"/>
    <w:rsid w:val="002C64C3"/>
    <w:rsid w:val="002C6CAD"/>
    <w:rsid w:val="002C6EB5"/>
    <w:rsid w:val="002C7146"/>
    <w:rsid w:val="002C7739"/>
    <w:rsid w:val="002D0DBA"/>
    <w:rsid w:val="002D0FE8"/>
    <w:rsid w:val="002D3159"/>
    <w:rsid w:val="002D3BD9"/>
    <w:rsid w:val="002D435D"/>
    <w:rsid w:val="002E0C30"/>
    <w:rsid w:val="002E0F36"/>
    <w:rsid w:val="002E103B"/>
    <w:rsid w:val="002E1353"/>
    <w:rsid w:val="002E37F5"/>
    <w:rsid w:val="002E490A"/>
    <w:rsid w:val="002E5144"/>
    <w:rsid w:val="002E6B0E"/>
    <w:rsid w:val="002F2206"/>
    <w:rsid w:val="002F4B89"/>
    <w:rsid w:val="002F5BA9"/>
    <w:rsid w:val="002F7384"/>
    <w:rsid w:val="003001C3"/>
    <w:rsid w:val="003005C2"/>
    <w:rsid w:val="00300AE8"/>
    <w:rsid w:val="003014DD"/>
    <w:rsid w:val="00301644"/>
    <w:rsid w:val="00301C36"/>
    <w:rsid w:val="00301F59"/>
    <w:rsid w:val="0030285A"/>
    <w:rsid w:val="003032F1"/>
    <w:rsid w:val="003041AE"/>
    <w:rsid w:val="00304D1D"/>
    <w:rsid w:val="00305676"/>
    <w:rsid w:val="003059B7"/>
    <w:rsid w:val="00305E17"/>
    <w:rsid w:val="00305F2B"/>
    <w:rsid w:val="0030648D"/>
    <w:rsid w:val="00306DC1"/>
    <w:rsid w:val="003106A8"/>
    <w:rsid w:val="0031105F"/>
    <w:rsid w:val="00311CF5"/>
    <w:rsid w:val="00312F72"/>
    <w:rsid w:val="003135BB"/>
    <w:rsid w:val="00316577"/>
    <w:rsid w:val="0031728F"/>
    <w:rsid w:val="003178E4"/>
    <w:rsid w:val="00320DE5"/>
    <w:rsid w:val="00320E9A"/>
    <w:rsid w:val="003211B4"/>
    <w:rsid w:val="003211C9"/>
    <w:rsid w:val="0032257C"/>
    <w:rsid w:val="00323F88"/>
    <w:rsid w:val="00324930"/>
    <w:rsid w:val="00326945"/>
    <w:rsid w:val="00326A34"/>
    <w:rsid w:val="00327687"/>
    <w:rsid w:val="003329D4"/>
    <w:rsid w:val="003338C8"/>
    <w:rsid w:val="00333B8A"/>
    <w:rsid w:val="00334484"/>
    <w:rsid w:val="00335E29"/>
    <w:rsid w:val="00337513"/>
    <w:rsid w:val="00346948"/>
    <w:rsid w:val="0034698F"/>
    <w:rsid w:val="00346BDB"/>
    <w:rsid w:val="0034739A"/>
    <w:rsid w:val="003478F7"/>
    <w:rsid w:val="00347EFC"/>
    <w:rsid w:val="00350D3F"/>
    <w:rsid w:val="003510C0"/>
    <w:rsid w:val="00352330"/>
    <w:rsid w:val="0035548B"/>
    <w:rsid w:val="003556CC"/>
    <w:rsid w:val="00356991"/>
    <w:rsid w:val="00356BC7"/>
    <w:rsid w:val="00356C2D"/>
    <w:rsid w:val="00356F4D"/>
    <w:rsid w:val="00360210"/>
    <w:rsid w:val="00360323"/>
    <w:rsid w:val="00363F46"/>
    <w:rsid w:val="003651D0"/>
    <w:rsid w:val="00367F8A"/>
    <w:rsid w:val="003709DE"/>
    <w:rsid w:val="00373601"/>
    <w:rsid w:val="003739C6"/>
    <w:rsid w:val="00373AD4"/>
    <w:rsid w:val="00374F97"/>
    <w:rsid w:val="00376939"/>
    <w:rsid w:val="00376C59"/>
    <w:rsid w:val="00377671"/>
    <w:rsid w:val="0037783D"/>
    <w:rsid w:val="00377D6A"/>
    <w:rsid w:val="00380578"/>
    <w:rsid w:val="00381989"/>
    <w:rsid w:val="0038205D"/>
    <w:rsid w:val="003822D8"/>
    <w:rsid w:val="00384472"/>
    <w:rsid w:val="00384732"/>
    <w:rsid w:val="003858BB"/>
    <w:rsid w:val="003917AC"/>
    <w:rsid w:val="00391880"/>
    <w:rsid w:val="00393E58"/>
    <w:rsid w:val="00393F47"/>
    <w:rsid w:val="003947DF"/>
    <w:rsid w:val="00394B51"/>
    <w:rsid w:val="00394EAF"/>
    <w:rsid w:val="00396FDA"/>
    <w:rsid w:val="003A15C5"/>
    <w:rsid w:val="003A1A9F"/>
    <w:rsid w:val="003A36A9"/>
    <w:rsid w:val="003A3B73"/>
    <w:rsid w:val="003A5B9D"/>
    <w:rsid w:val="003A70B0"/>
    <w:rsid w:val="003A7396"/>
    <w:rsid w:val="003A78A0"/>
    <w:rsid w:val="003B0175"/>
    <w:rsid w:val="003B02E9"/>
    <w:rsid w:val="003B1327"/>
    <w:rsid w:val="003B1490"/>
    <w:rsid w:val="003B14FC"/>
    <w:rsid w:val="003B35E2"/>
    <w:rsid w:val="003B3A2E"/>
    <w:rsid w:val="003B3FD3"/>
    <w:rsid w:val="003B4053"/>
    <w:rsid w:val="003B6657"/>
    <w:rsid w:val="003B6E23"/>
    <w:rsid w:val="003B7F67"/>
    <w:rsid w:val="003C2431"/>
    <w:rsid w:val="003C3186"/>
    <w:rsid w:val="003C43B5"/>
    <w:rsid w:val="003C4ED8"/>
    <w:rsid w:val="003C509D"/>
    <w:rsid w:val="003C573F"/>
    <w:rsid w:val="003C5F97"/>
    <w:rsid w:val="003C6245"/>
    <w:rsid w:val="003D1ABD"/>
    <w:rsid w:val="003D28FF"/>
    <w:rsid w:val="003D29A6"/>
    <w:rsid w:val="003D4269"/>
    <w:rsid w:val="003D569C"/>
    <w:rsid w:val="003D65E0"/>
    <w:rsid w:val="003D6C10"/>
    <w:rsid w:val="003D6CA0"/>
    <w:rsid w:val="003E0229"/>
    <w:rsid w:val="003E155F"/>
    <w:rsid w:val="003E2359"/>
    <w:rsid w:val="003E3D29"/>
    <w:rsid w:val="003E4510"/>
    <w:rsid w:val="003E518F"/>
    <w:rsid w:val="003E75EA"/>
    <w:rsid w:val="003E76C2"/>
    <w:rsid w:val="003F1F12"/>
    <w:rsid w:val="003F220E"/>
    <w:rsid w:val="003F267D"/>
    <w:rsid w:val="003F3B05"/>
    <w:rsid w:val="003F5304"/>
    <w:rsid w:val="003F5C90"/>
    <w:rsid w:val="003F67A1"/>
    <w:rsid w:val="0040013F"/>
    <w:rsid w:val="00401FE5"/>
    <w:rsid w:val="00404969"/>
    <w:rsid w:val="004064A2"/>
    <w:rsid w:val="00406E51"/>
    <w:rsid w:val="00411DB8"/>
    <w:rsid w:val="00412803"/>
    <w:rsid w:val="0041717E"/>
    <w:rsid w:val="00417844"/>
    <w:rsid w:val="00417B90"/>
    <w:rsid w:val="00420CD3"/>
    <w:rsid w:val="00421A8D"/>
    <w:rsid w:val="00421CF6"/>
    <w:rsid w:val="00423ACB"/>
    <w:rsid w:val="004248D7"/>
    <w:rsid w:val="00424ECB"/>
    <w:rsid w:val="00427D2E"/>
    <w:rsid w:val="00430739"/>
    <w:rsid w:val="004312FD"/>
    <w:rsid w:val="00431F61"/>
    <w:rsid w:val="004337C8"/>
    <w:rsid w:val="00433E9F"/>
    <w:rsid w:val="0043407C"/>
    <w:rsid w:val="00434263"/>
    <w:rsid w:val="004347E8"/>
    <w:rsid w:val="00435C00"/>
    <w:rsid w:val="00440808"/>
    <w:rsid w:val="0044159F"/>
    <w:rsid w:val="004424F0"/>
    <w:rsid w:val="0044396E"/>
    <w:rsid w:val="00444C62"/>
    <w:rsid w:val="004459D1"/>
    <w:rsid w:val="00445DFD"/>
    <w:rsid w:val="00447569"/>
    <w:rsid w:val="00447ACC"/>
    <w:rsid w:val="004508E3"/>
    <w:rsid w:val="00451387"/>
    <w:rsid w:val="004520EB"/>
    <w:rsid w:val="00452492"/>
    <w:rsid w:val="00452940"/>
    <w:rsid w:val="00454C2C"/>
    <w:rsid w:val="00455ED9"/>
    <w:rsid w:val="00456C01"/>
    <w:rsid w:val="0046007A"/>
    <w:rsid w:val="004629A7"/>
    <w:rsid w:val="00463C30"/>
    <w:rsid w:val="0046440A"/>
    <w:rsid w:val="00465253"/>
    <w:rsid w:val="00465CF1"/>
    <w:rsid w:val="00467F4F"/>
    <w:rsid w:val="00470131"/>
    <w:rsid w:val="0047062A"/>
    <w:rsid w:val="00471096"/>
    <w:rsid w:val="00471347"/>
    <w:rsid w:val="004720B9"/>
    <w:rsid w:val="00473C92"/>
    <w:rsid w:val="00474A3B"/>
    <w:rsid w:val="00475646"/>
    <w:rsid w:val="0048127A"/>
    <w:rsid w:val="004831BF"/>
    <w:rsid w:val="0048404F"/>
    <w:rsid w:val="0048520A"/>
    <w:rsid w:val="004857C9"/>
    <w:rsid w:val="00486D67"/>
    <w:rsid w:val="0049098D"/>
    <w:rsid w:val="00491764"/>
    <w:rsid w:val="004924F8"/>
    <w:rsid w:val="00492613"/>
    <w:rsid w:val="00493994"/>
    <w:rsid w:val="00495235"/>
    <w:rsid w:val="004A040B"/>
    <w:rsid w:val="004A06CF"/>
    <w:rsid w:val="004A0F9C"/>
    <w:rsid w:val="004A1193"/>
    <w:rsid w:val="004A3D78"/>
    <w:rsid w:val="004A414B"/>
    <w:rsid w:val="004A4EE7"/>
    <w:rsid w:val="004A5698"/>
    <w:rsid w:val="004A67B9"/>
    <w:rsid w:val="004A74E5"/>
    <w:rsid w:val="004A75CD"/>
    <w:rsid w:val="004A7DC3"/>
    <w:rsid w:val="004B16F9"/>
    <w:rsid w:val="004B19CC"/>
    <w:rsid w:val="004B26AE"/>
    <w:rsid w:val="004B48A7"/>
    <w:rsid w:val="004B548D"/>
    <w:rsid w:val="004B590E"/>
    <w:rsid w:val="004B6A5D"/>
    <w:rsid w:val="004B762E"/>
    <w:rsid w:val="004C2EB2"/>
    <w:rsid w:val="004C7D1C"/>
    <w:rsid w:val="004C7E97"/>
    <w:rsid w:val="004D0423"/>
    <w:rsid w:val="004D0CA7"/>
    <w:rsid w:val="004D1724"/>
    <w:rsid w:val="004D178D"/>
    <w:rsid w:val="004D4219"/>
    <w:rsid w:val="004D57D1"/>
    <w:rsid w:val="004D6578"/>
    <w:rsid w:val="004D69B7"/>
    <w:rsid w:val="004D7888"/>
    <w:rsid w:val="004D7B82"/>
    <w:rsid w:val="004E0146"/>
    <w:rsid w:val="004E08DE"/>
    <w:rsid w:val="004E34AA"/>
    <w:rsid w:val="004E35FC"/>
    <w:rsid w:val="004E3C13"/>
    <w:rsid w:val="004E78B8"/>
    <w:rsid w:val="004E7A98"/>
    <w:rsid w:val="004F044C"/>
    <w:rsid w:val="004F1BC2"/>
    <w:rsid w:val="004F1FB4"/>
    <w:rsid w:val="004F49AD"/>
    <w:rsid w:val="004F5FC1"/>
    <w:rsid w:val="004F643B"/>
    <w:rsid w:val="00501F3A"/>
    <w:rsid w:val="00502D0C"/>
    <w:rsid w:val="005049D9"/>
    <w:rsid w:val="00504CAE"/>
    <w:rsid w:val="00506EC8"/>
    <w:rsid w:val="00506F62"/>
    <w:rsid w:val="00510612"/>
    <w:rsid w:val="005112B1"/>
    <w:rsid w:val="0051313E"/>
    <w:rsid w:val="00513539"/>
    <w:rsid w:val="00513544"/>
    <w:rsid w:val="00513BB6"/>
    <w:rsid w:val="00514A93"/>
    <w:rsid w:val="00515030"/>
    <w:rsid w:val="00515F7F"/>
    <w:rsid w:val="00516F32"/>
    <w:rsid w:val="00523C27"/>
    <w:rsid w:val="005268A2"/>
    <w:rsid w:val="005277B3"/>
    <w:rsid w:val="00527983"/>
    <w:rsid w:val="005304C9"/>
    <w:rsid w:val="005309EA"/>
    <w:rsid w:val="00531273"/>
    <w:rsid w:val="00531B01"/>
    <w:rsid w:val="005327D4"/>
    <w:rsid w:val="005330AA"/>
    <w:rsid w:val="00534395"/>
    <w:rsid w:val="00534A1E"/>
    <w:rsid w:val="00535932"/>
    <w:rsid w:val="00536617"/>
    <w:rsid w:val="00541732"/>
    <w:rsid w:val="00542423"/>
    <w:rsid w:val="00542E7D"/>
    <w:rsid w:val="00543255"/>
    <w:rsid w:val="00543393"/>
    <w:rsid w:val="005434D1"/>
    <w:rsid w:val="005441B7"/>
    <w:rsid w:val="00545746"/>
    <w:rsid w:val="00545796"/>
    <w:rsid w:val="00545E7D"/>
    <w:rsid w:val="00545FB3"/>
    <w:rsid w:val="00546DF9"/>
    <w:rsid w:val="00547E91"/>
    <w:rsid w:val="005512B3"/>
    <w:rsid w:val="0055217D"/>
    <w:rsid w:val="005521E8"/>
    <w:rsid w:val="00552A30"/>
    <w:rsid w:val="00552E4D"/>
    <w:rsid w:val="005539AF"/>
    <w:rsid w:val="00555B1C"/>
    <w:rsid w:val="00556B9E"/>
    <w:rsid w:val="00556F0C"/>
    <w:rsid w:val="005605EF"/>
    <w:rsid w:val="005612B0"/>
    <w:rsid w:val="00561D75"/>
    <w:rsid w:val="00562964"/>
    <w:rsid w:val="005631A9"/>
    <w:rsid w:val="00566310"/>
    <w:rsid w:val="0056664A"/>
    <w:rsid w:val="00570647"/>
    <w:rsid w:val="00571C5F"/>
    <w:rsid w:val="0057215C"/>
    <w:rsid w:val="00573FD4"/>
    <w:rsid w:val="005776DE"/>
    <w:rsid w:val="00577EAD"/>
    <w:rsid w:val="00582520"/>
    <w:rsid w:val="0058308D"/>
    <w:rsid w:val="00583681"/>
    <w:rsid w:val="00583C81"/>
    <w:rsid w:val="00584205"/>
    <w:rsid w:val="005856AD"/>
    <w:rsid w:val="0058647C"/>
    <w:rsid w:val="00586863"/>
    <w:rsid w:val="00590054"/>
    <w:rsid w:val="0059021C"/>
    <w:rsid w:val="00590312"/>
    <w:rsid w:val="00590CD6"/>
    <w:rsid w:val="0059164D"/>
    <w:rsid w:val="00592A89"/>
    <w:rsid w:val="005937D0"/>
    <w:rsid w:val="00593934"/>
    <w:rsid w:val="00594AC6"/>
    <w:rsid w:val="005A0E49"/>
    <w:rsid w:val="005A0F2A"/>
    <w:rsid w:val="005A228E"/>
    <w:rsid w:val="005A2C17"/>
    <w:rsid w:val="005A4822"/>
    <w:rsid w:val="005A5098"/>
    <w:rsid w:val="005A51BF"/>
    <w:rsid w:val="005A5302"/>
    <w:rsid w:val="005A5BC8"/>
    <w:rsid w:val="005A60BF"/>
    <w:rsid w:val="005A6525"/>
    <w:rsid w:val="005B2B6B"/>
    <w:rsid w:val="005B42E1"/>
    <w:rsid w:val="005B4927"/>
    <w:rsid w:val="005B7927"/>
    <w:rsid w:val="005C1810"/>
    <w:rsid w:val="005C237A"/>
    <w:rsid w:val="005C2875"/>
    <w:rsid w:val="005C2DE9"/>
    <w:rsid w:val="005C5826"/>
    <w:rsid w:val="005C7E8E"/>
    <w:rsid w:val="005D011C"/>
    <w:rsid w:val="005D0C1E"/>
    <w:rsid w:val="005D2298"/>
    <w:rsid w:val="005D2607"/>
    <w:rsid w:val="005D3421"/>
    <w:rsid w:val="005D35FF"/>
    <w:rsid w:val="005D3B64"/>
    <w:rsid w:val="005D4BF1"/>
    <w:rsid w:val="005D50EC"/>
    <w:rsid w:val="005D751A"/>
    <w:rsid w:val="005D7D22"/>
    <w:rsid w:val="005E0B53"/>
    <w:rsid w:val="005E0E47"/>
    <w:rsid w:val="005E153D"/>
    <w:rsid w:val="005E1671"/>
    <w:rsid w:val="005E2031"/>
    <w:rsid w:val="005E22B9"/>
    <w:rsid w:val="005E3A11"/>
    <w:rsid w:val="005E3AC6"/>
    <w:rsid w:val="005E492D"/>
    <w:rsid w:val="005E61E3"/>
    <w:rsid w:val="005E76C4"/>
    <w:rsid w:val="005F09A6"/>
    <w:rsid w:val="005F0AC1"/>
    <w:rsid w:val="005F3ED2"/>
    <w:rsid w:val="005F42D3"/>
    <w:rsid w:val="005F5C8A"/>
    <w:rsid w:val="005F7676"/>
    <w:rsid w:val="0060195E"/>
    <w:rsid w:val="00601AAA"/>
    <w:rsid w:val="00603024"/>
    <w:rsid w:val="00603733"/>
    <w:rsid w:val="006050B0"/>
    <w:rsid w:val="00605C8B"/>
    <w:rsid w:val="00610375"/>
    <w:rsid w:val="00611D51"/>
    <w:rsid w:val="00612871"/>
    <w:rsid w:val="00612B12"/>
    <w:rsid w:val="00612DE7"/>
    <w:rsid w:val="00613BE8"/>
    <w:rsid w:val="00613FB7"/>
    <w:rsid w:val="0061431B"/>
    <w:rsid w:val="006144C7"/>
    <w:rsid w:val="00614619"/>
    <w:rsid w:val="0061572F"/>
    <w:rsid w:val="00615A2B"/>
    <w:rsid w:val="006163E1"/>
    <w:rsid w:val="00616416"/>
    <w:rsid w:val="00616A3E"/>
    <w:rsid w:val="00616A75"/>
    <w:rsid w:val="00616CEE"/>
    <w:rsid w:val="00620141"/>
    <w:rsid w:val="00622FFD"/>
    <w:rsid w:val="00623065"/>
    <w:rsid w:val="00623477"/>
    <w:rsid w:val="00623B8F"/>
    <w:rsid w:val="00624966"/>
    <w:rsid w:val="00625A41"/>
    <w:rsid w:val="006271FE"/>
    <w:rsid w:val="006300C8"/>
    <w:rsid w:val="006327F3"/>
    <w:rsid w:val="00632BB4"/>
    <w:rsid w:val="00633C39"/>
    <w:rsid w:val="00635351"/>
    <w:rsid w:val="00636948"/>
    <w:rsid w:val="0063744C"/>
    <w:rsid w:val="00637B31"/>
    <w:rsid w:val="00640534"/>
    <w:rsid w:val="00640A23"/>
    <w:rsid w:val="00641D6E"/>
    <w:rsid w:val="006422B2"/>
    <w:rsid w:val="006427D9"/>
    <w:rsid w:val="00642B9D"/>
    <w:rsid w:val="00643390"/>
    <w:rsid w:val="00644C7E"/>
    <w:rsid w:val="0064592E"/>
    <w:rsid w:val="00646550"/>
    <w:rsid w:val="0065096E"/>
    <w:rsid w:val="00650D3D"/>
    <w:rsid w:val="00650E89"/>
    <w:rsid w:val="006536A2"/>
    <w:rsid w:val="00653B9F"/>
    <w:rsid w:val="0065422C"/>
    <w:rsid w:val="006566F9"/>
    <w:rsid w:val="00656A94"/>
    <w:rsid w:val="00660BAC"/>
    <w:rsid w:val="00661DAB"/>
    <w:rsid w:val="00662E02"/>
    <w:rsid w:val="00663101"/>
    <w:rsid w:val="0066446D"/>
    <w:rsid w:val="00664CDE"/>
    <w:rsid w:val="0067021D"/>
    <w:rsid w:val="00670483"/>
    <w:rsid w:val="0067084A"/>
    <w:rsid w:val="006709A3"/>
    <w:rsid w:val="00670EEB"/>
    <w:rsid w:val="0067179C"/>
    <w:rsid w:val="006732AE"/>
    <w:rsid w:val="006736FB"/>
    <w:rsid w:val="00674303"/>
    <w:rsid w:val="006744F4"/>
    <w:rsid w:val="00674507"/>
    <w:rsid w:val="006745A6"/>
    <w:rsid w:val="006760BA"/>
    <w:rsid w:val="0067743C"/>
    <w:rsid w:val="006804B2"/>
    <w:rsid w:val="0068177D"/>
    <w:rsid w:val="00682431"/>
    <w:rsid w:val="006850B9"/>
    <w:rsid w:val="00685180"/>
    <w:rsid w:val="00686E0F"/>
    <w:rsid w:val="00690C31"/>
    <w:rsid w:val="00691768"/>
    <w:rsid w:val="00692AF3"/>
    <w:rsid w:val="006945EE"/>
    <w:rsid w:val="00695699"/>
    <w:rsid w:val="00697358"/>
    <w:rsid w:val="0069763A"/>
    <w:rsid w:val="006A0608"/>
    <w:rsid w:val="006A08C8"/>
    <w:rsid w:val="006A4BA7"/>
    <w:rsid w:val="006A5346"/>
    <w:rsid w:val="006A7A60"/>
    <w:rsid w:val="006B094F"/>
    <w:rsid w:val="006B0CBB"/>
    <w:rsid w:val="006B0D7D"/>
    <w:rsid w:val="006B263C"/>
    <w:rsid w:val="006B2DC5"/>
    <w:rsid w:val="006B3CED"/>
    <w:rsid w:val="006B4534"/>
    <w:rsid w:val="006B57AF"/>
    <w:rsid w:val="006B627B"/>
    <w:rsid w:val="006B6314"/>
    <w:rsid w:val="006C13DF"/>
    <w:rsid w:val="006C255F"/>
    <w:rsid w:val="006C27C3"/>
    <w:rsid w:val="006C2FFD"/>
    <w:rsid w:val="006C300A"/>
    <w:rsid w:val="006C41CF"/>
    <w:rsid w:val="006C4D55"/>
    <w:rsid w:val="006C60A1"/>
    <w:rsid w:val="006C7F27"/>
    <w:rsid w:val="006D023B"/>
    <w:rsid w:val="006D0773"/>
    <w:rsid w:val="006D08D8"/>
    <w:rsid w:val="006D1005"/>
    <w:rsid w:val="006D1F69"/>
    <w:rsid w:val="006D2DF3"/>
    <w:rsid w:val="006D3120"/>
    <w:rsid w:val="006D3E5C"/>
    <w:rsid w:val="006D4E38"/>
    <w:rsid w:val="006D5200"/>
    <w:rsid w:val="006D7AAA"/>
    <w:rsid w:val="006D7AD7"/>
    <w:rsid w:val="006E01F7"/>
    <w:rsid w:val="006E0815"/>
    <w:rsid w:val="006E0FFF"/>
    <w:rsid w:val="006E31F3"/>
    <w:rsid w:val="006E450F"/>
    <w:rsid w:val="006E65EC"/>
    <w:rsid w:val="006F05B1"/>
    <w:rsid w:val="006F05CE"/>
    <w:rsid w:val="006F06FE"/>
    <w:rsid w:val="006F1556"/>
    <w:rsid w:val="006F30D6"/>
    <w:rsid w:val="006F5FFC"/>
    <w:rsid w:val="006F6112"/>
    <w:rsid w:val="006F6E41"/>
    <w:rsid w:val="007007A6"/>
    <w:rsid w:val="00703C42"/>
    <w:rsid w:val="00703DCF"/>
    <w:rsid w:val="00704485"/>
    <w:rsid w:val="00704684"/>
    <w:rsid w:val="00704C1E"/>
    <w:rsid w:val="0070557D"/>
    <w:rsid w:val="0070572B"/>
    <w:rsid w:val="007072C0"/>
    <w:rsid w:val="00710952"/>
    <w:rsid w:val="00713101"/>
    <w:rsid w:val="0071462C"/>
    <w:rsid w:val="00716363"/>
    <w:rsid w:val="0071657A"/>
    <w:rsid w:val="00716891"/>
    <w:rsid w:val="007168D2"/>
    <w:rsid w:val="00716ABA"/>
    <w:rsid w:val="00716B27"/>
    <w:rsid w:val="00720D18"/>
    <w:rsid w:val="00721C50"/>
    <w:rsid w:val="00721C8A"/>
    <w:rsid w:val="007222CA"/>
    <w:rsid w:val="00723AAD"/>
    <w:rsid w:val="007242F9"/>
    <w:rsid w:val="00726343"/>
    <w:rsid w:val="00727B63"/>
    <w:rsid w:val="007304EE"/>
    <w:rsid w:val="00730EEA"/>
    <w:rsid w:val="007310D4"/>
    <w:rsid w:val="00734489"/>
    <w:rsid w:val="00736838"/>
    <w:rsid w:val="00740212"/>
    <w:rsid w:val="007415EF"/>
    <w:rsid w:val="0074408A"/>
    <w:rsid w:val="00744178"/>
    <w:rsid w:val="00745AC1"/>
    <w:rsid w:val="00746B0C"/>
    <w:rsid w:val="0075079C"/>
    <w:rsid w:val="00750C21"/>
    <w:rsid w:val="00750D28"/>
    <w:rsid w:val="00751110"/>
    <w:rsid w:val="00752D26"/>
    <w:rsid w:val="007531CB"/>
    <w:rsid w:val="00753765"/>
    <w:rsid w:val="00754721"/>
    <w:rsid w:val="00754B8C"/>
    <w:rsid w:val="00754BEE"/>
    <w:rsid w:val="0075636B"/>
    <w:rsid w:val="007606AE"/>
    <w:rsid w:val="007607BD"/>
    <w:rsid w:val="00760CD3"/>
    <w:rsid w:val="00761C48"/>
    <w:rsid w:val="0076294D"/>
    <w:rsid w:val="007646F2"/>
    <w:rsid w:val="00764B9F"/>
    <w:rsid w:val="00765E7B"/>
    <w:rsid w:val="0076637C"/>
    <w:rsid w:val="0077013A"/>
    <w:rsid w:val="007704E2"/>
    <w:rsid w:val="00770F75"/>
    <w:rsid w:val="007726F1"/>
    <w:rsid w:val="00773815"/>
    <w:rsid w:val="00775137"/>
    <w:rsid w:val="00775C9B"/>
    <w:rsid w:val="00776235"/>
    <w:rsid w:val="00777D42"/>
    <w:rsid w:val="00780B7A"/>
    <w:rsid w:val="007813E2"/>
    <w:rsid w:val="00781B57"/>
    <w:rsid w:val="007826F7"/>
    <w:rsid w:val="00783D17"/>
    <w:rsid w:val="00783F6B"/>
    <w:rsid w:val="007842FD"/>
    <w:rsid w:val="00785C86"/>
    <w:rsid w:val="00785E11"/>
    <w:rsid w:val="007909B1"/>
    <w:rsid w:val="007929B8"/>
    <w:rsid w:val="007939E8"/>
    <w:rsid w:val="00793E69"/>
    <w:rsid w:val="007977B8"/>
    <w:rsid w:val="007A0C0B"/>
    <w:rsid w:val="007A2359"/>
    <w:rsid w:val="007A36E6"/>
    <w:rsid w:val="007A4447"/>
    <w:rsid w:val="007A65EA"/>
    <w:rsid w:val="007A6F5F"/>
    <w:rsid w:val="007A787B"/>
    <w:rsid w:val="007B0E77"/>
    <w:rsid w:val="007B2644"/>
    <w:rsid w:val="007B2A77"/>
    <w:rsid w:val="007B2AE2"/>
    <w:rsid w:val="007B2EEA"/>
    <w:rsid w:val="007B317A"/>
    <w:rsid w:val="007B3A68"/>
    <w:rsid w:val="007B4153"/>
    <w:rsid w:val="007B4F54"/>
    <w:rsid w:val="007B595B"/>
    <w:rsid w:val="007B66BD"/>
    <w:rsid w:val="007B6B7B"/>
    <w:rsid w:val="007B6E0C"/>
    <w:rsid w:val="007B730E"/>
    <w:rsid w:val="007C0C1D"/>
    <w:rsid w:val="007C0E3E"/>
    <w:rsid w:val="007C1FD5"/>
    <w:rsid w:val="007C2710"/>
    <w:rsid w:val="007C345D"/>
    <w:rsid w:val="007C3957"/>
    <w:rsid w:val="007C41FA"/>
    <w:rsid w:val="007C4426"/>
    <w:rsid w:val="007C6D75"/>
    <w:rsid w:val="007D0523"/>
    <w:rsid w:val="007D0D3D"/>
    <w:rsid w:val="007D2F1B"/>
    <w:rsid w:val="007D3215"/>
    <w:rsid w:val="007D589B"/>
    <w:rsid w:val="007D6422"/>
    <w:rsid w:val="007D69C2"/>
    <w:rsid w:val="007E003F"/>
    <w:rsid w:val="007E0741"/>
    <w:rsid w:val="007E0E95"/>
    <w:rsid w:val="007E141F"/>
    <w:rsid w:val="007E289B"/>
    <w:rsid w:val="007E29A7"/>
    <w:rsid w:val="007E2DD3"/>
    <w:rsid w:val="007E3D0C"/>
    <w:rsid w:val="007E4557"/>
    <w:rsid w:val="007E628A"/>
    <w:rsid w:val="007F0A4B"/>
    <w:rsid w:val="007F156C"/>
    <w:rsid w:val="007F47B8"/>
    <w:rsid w:val="007F68BA"/>
    <w:rsid w:val="007F6E11"/>
    <w:rsid w:val="007F73A1"/>
    <w:rsid w:val="007F742C"/>
    <w:rsid w:val="00801276"/>
    <w:rsid w:val="00802379"/>
    <w:rsid w:val="0080284C"/>
    <w:rsid w:val="00803035"/>
    <w:rsid w:val="0080455C"/>
    <w:rsid w:val="00804A4D"/>
    <w:rsid w:val="00805206"/>
    <w:rsid w:val="00805C08"/>
    <w:rsid w:val="00805F9E"/>
    <w:rsid w:val="00810189"/>
    <w:rsid w:val="0081039B"/>
    <w:rsid w:val="00814ADB"/>
    <w:rsid w:val="0082017D"/>
    <w:rsid w:val="00821912"/>
    <w:rsid w:val="00822C16"/>
    <w:rsid w:val="00824C4A"/>
    <w:rsid w:val="00825814"/>
    <w:rsid w:val="00827038"/>
    <w:rsid w:val="008272E4"/>
    <w:rsid w:val="00827609"/>
    <w:rsid w:val="00827A21"/>
    <w:rsid w:val="00831081"/>
    <w:rsid w:val="00831CE1"/>
    <w:rsid w:val="00832AA3"/>
    <w:rsid w:val="00832CD3"/>
    <w:rsid w:val="00836ECD"/>
    <w:rsid w:val="00837374"/>
    <w:rsid w:val="008403AF"/>
    <w:rsid w:val="00840DED"/>
    <w:rsid w:val="00841A7B"/>
    <w:rsid w:val="00841BAA"/>
    <w:rsid w:val="00844415"/>
    <w:rsid w:val="008452CE"/>
    <w:rsid w:val="00845430"/>
    <w:rsid w:val="0084561A"/>
    <w:rsid w:val="00846871"/>
    <w:rsid w:val="008474F5"/>
    <w:rsid w:val="00850468"/>
    <w:rsid w:val="00851802"/>
    <w:rsid w:val="00851ECE"/>
    <w:rsid w:val="0085257F"/>
    <w:rsid w:val="0085300D"/>
    <w:rsid w:val="00857E83"/>
    <w:rsid w:val="0086128F"/>
    <w:rsid w:val="00861F74"/>
    <w:rsid w:val="00861FC1"/>
    <w:rsid w:val="00861FEF"/>
    <w:rsid w:val="00864EFD"/>
    <w:rsid w:val="008654EE"/>
    <w:rsid w:val="00865DF5"/>
    <w:rsid w:val="00865EDF"/>
    <w:rsid w:val="00867376"/>
    <w:rsid w:val="008673E5"/>
    <w:rsid w:val="00870B0C"/>
    <w:rsid w:val="00871157"/>
    <w:rsid w:val="00871B6D"/>
    <w:rsid w:val="00873FE7"/>
    <w:rsid w:val="00874116"/>
    <w:rsid w:val="00875782"/>
    <w:rsid w:val="00880996"/>
    <w:rsid w:val="00880C6C"/>
    <w:rsid w:val="0088214E"/>
    <w:rsid w:val="0088314B"/>
    <w:rsid w:val="00885E04"/>
    <w:rsid w:val="0088738D"/>
    <w:rsid w:val="008875DB"/>
    <w:rsid w:val="00894549"/>
    <w:rsid w:val="0089467F"/>
    <w:rsid w:val="00895225"/>
    <w:rsid w:val="008958D2"/>
    <w:rsid w:val="008A07D0"/>
    <w:rsid w:val="008A1B96"/>
    <w:rsid w:val="008A1CD6"/>
    <w:rsid w:val="008A2343"/>
    <w:rsid w:val="008A5C37"/>
    <w:rsid w:val="008A676C"/>
    <w:rsid w:val="008B04F6"/>
    <w:rsid w:val="008B0ED1"/>
    <w:rsid w:val="008B14BF"/>
    <w:rsid w:val="008B2308"/>
    <w:rsid w:val="008B25F5"/>
    <w:rsid w:val="008B6DB3"/>
    <w:rsid w:val="008B7520"/>
    <w:rsid w:val="008B7587"/>
    <w:rsid w:val="008B7F1B"/>
    <w:rsid w:val="008C150C"/>
    <w:rsid w:val="008C42D5"/>
    <w:rsid w:val="008C47AE"/>
    <w:rsid w:val="008C4AD9"/>
    <w:rsid w:val="008D12C0"/>
    <w:rsid w:val="008D152F"/>
    <w:rsid w:val="008D25A7"/>
    <w:rsid w:val="008D2909"/>
    <w:rsid w:val="008D2BEB"/>
    <w:rsid w:val="008D346F"/>
    <w:rsid w:val="008D3BA2"/>
    <w:rsid w:val="008D4142"/>
    <w:rsid w:val="008D441D"/>
    <w:rsid w:val="008D555B"/>
    <w:rsid w:val="008D5CE0"/>
    <w:rsid w:val="008D5F83"/>
    <w:rsid w:val="008E3850"/>
    <w:rsid w:val="008E42C8"/>
    <w:rsid w:val="008E43B2"/>
    <w:rsid w:val="008E5283"/>
    <w:rsid w:val="008E783F"/>
    <w:rsid w:val="008F059D"/>
    <w:rsid w:val="008F0609"/>
    <w:rsid w:val="008F2E71"/>
    <w:rsid w:val="008F32C9"/>
    <w:rsid w:val="008F3AE7"/>
    <w:rsid w:val="008F59A2"/>
    <w:rsid w:val="008F59B2"/>
    <w:rsid w:val="008F6D5A"/>
    <w:rsid w:val="008F71AC"/>
    <w:rsid w:val="009001DE"/>
    <w:rsid w:val="00900365"/>
    <w:rsid w:val="00904219"/>
    <w:rsid w:val="00904738"/>
    <w:rsid w:val="0090684A"/>
    <w:rsid w:val="00907443"/>
    <w:rsid w:val="00910820"/>
    <w:rsid w:val="0091097E"/>
    <w:rsid w:val="00911881"/>
    <w:rsid w:val="00912315"/>
    <w:rsid w:val="009132E5"/>
    <w:rsid w:val="0091387D"/>
    <w:rsid w:val="00913F07"/>
    <w:rsid w:val="00914698"/>
    <w:rsid w:val="00915BD5"/>
    <w:rsid w:val="009160BE"/>
    <w:rsid w:val="009206EC"/>
    <w:rsid w:val="00920DEF"/>
    <w:rsid w:val="00921992"/>
    <w:rsid w:val="00921A49"/>
    <w:rsid w:val="0092275E"/>
    <w:rsid w:val="00924C3E"/>
    <w:rsid w:val="00926D8F"/>
    <w:rsid w:val="00927212"/>
    <w:rsid w:val="00930F8C"/>
    <w:rsid w:val="00931263"/>
    <w:rsid w:val="00934266"/>
    <w:rsid w:val="00935FF0"/>
    <w:rsid w:val="0093609A"/>
    <w:rsid w:val="009362ED"/>
    <w:rsid w:val="00936DEB"/>
    <w:rsid w:val="009375C2"/>
    <w:rsid w:val="00940637"/>
    <w:rsid w:val="00941127"/>
    <w:rsid w:val="009450A6"/>
    <w:rsid w:val="00945EE4"/>
    <w:rsid w:val="009467B9"/>
    <w:rsid w:val="00947516"/>
    <w:rsid w:val="009500B8"/>
    <w:rsid w:val="009506A7"/>
    <w:rsid w:val="009521AE"/>
    <w:rsid w:val="00952200"/>
    <w:rsid w:val="009552B1"/>
    <w:rsid w:val="009555A7"/>
    <w:rsid w:val="009562E9"/>
    <w:rsid w:val="00956BED"/>
    <w:rsid w:val="00956C38"/>
    <w:rsid w:val="009609D3"/>
    <w:rsid w:val="00963191"/>
    <w:rsid w:val="0096385C"/>
    <w:rsid w:val="00963897"/>
    <w:rsid w:val="009643AA"/>
    <w:rsid w:val="00965830"/>
    <w:rsid w:val="00965929"/>
    <w:rsid w:val="00965DCF"/>
    <w:rsid w:val="00966372"/>
    <w:rsid w:val="0097046B"/>
    <w:rsid w:val="0097086D"/>
    <w:rsid w:val="00970BA3"/>
    <w:rsid w:val="009715B0"/>
    <w:rsid w:val="0097195B"/>
    <w:rsid w:val="009719C5"/>
    <w:rsid w:val="00972EDC"/>
    <w:rsid w:val="0097355A"/>
    <w:rsid w:val="009741A0"/>
    <w:rsid w:val="00974F0F"/>
    <w:rsid w:val="0097520A"/>
    <w:rsid w:val="00977D5F"/>
    <w:rsid w:val="00980218"/>
    <w:rsid w:val="00981E91"/>
    <w:rsid w:val="00983819"/>
    <w:rsid w:val="009846CC"/>
    <w:rsid w:val="0098472B"/>
    <w:rsid w:val="00984A1B"/>
    <w:rsid w:val="0098586B"/>
    <w:rsid w:val="00985C13"/>
    <w:rsid w:val="00987F07"/>
    <w:rsid w:val="009901CA"/>
    <w:rsid w:val="0099033B"/>
    <w:rsid w:val="00991206"/>
    <w:rsid w:val="00994755"/>
    <w:rsid w:val="009948EE"/>
    <w:rsid w:val="0099500B"/>
    <w:rsid w:val="00995D66"/>
    <w:rsid w:val="00996159"/>
    <w:rsid w:val="00996A9E"/>
    <w:rsid w:val="00996F68"/>
    <w:rsid w:val="009A02E2"/>
    <w:rsid w:val="009A0E7C"/>
    <w:rsid w:val="009A2CD8"/>
    <w:rsid w:val="009A41ED"/>
    <w:rsid w:val="009A4325"/>
    <w:rsid w:val="009A4668"/>
    <w:rsid w:val="009A7AFC"/>
    <w:rsid w:val="009B2940"/>
    <w:rsid w:val="009B3859"/>
    <w:rsid w:val="009B4479"/>
    <w:rsid w:val="009B5AC7"/>
    <w:rsid w:val="009B5C02"/>
    <w:rsid w:val="009B6B8A"/>
    <w:rsid w:val="009C0DA5"/>
    <w:rsid w:val="009C0F7E"/>
    <w:rsid w:val="009C11F5"/>
    <w:rsid w:val="009C3D91"/>
    <w:rsid w:val="009C5813"/>
    <w:rsid w:val="009C5A20"/>
    <w:rsid w:val="009C79B2"/>
    <w:rsid w:val="009D1E6E"/>
    <w:rsid w:val="009D386D"/>
    <w:rsid w:val="009D4597"/>
    <w:rsid w:val="009D5FA0"/>
    <w:rsid w:val="009E05D6"/>
    <w:rsid w:val="009E0CA3"/>
    <w:rsid w:val="009E29E2"/>
    <w:rsid w:val="009E2FC3"/>
    <w:rsid w:val="009E49BB"/>
    <w:rsid w:val="009E5F30"/>
    <w:rsid w:val="009E6746"/>
    <w:rsid w:val="009E6ACE"/>
    <w:rsid w:val="009F13C4"/>
    <w:rsid w:val="009F20D7"/>
    <w:rsid w:val="009F4560"/>
    <w:rsid w:val="009F4ACA"/>
    <w:rsid w:val="009F4F5A"/>
    <w:rsid w:val="009F5774"/>
    <w:rsid w:val="009F7C65"/>
    <w:rsid w:val="00A0118D"/>
    <w:rsid w:val="00A011B7"/>
    <w:rsid w:val="00A02709"/>
    <w:rsid w:val="00A02E1D"/>
    <w:rsid w:val="00A04B22"/>
    <w:rsid w:val="00A0526F"/>
    <w:rsid w:val="00A0572A"/>
    <w:rsid w:val="00A06287"/>
    <w:rsid w:val="00A06F32"/>
    <w:rsid w:val="00A10CE6"/>
    <w:rsid w:val="00A119ED"/>
    <w:rsid w:val="00A11F73"/>
    <w:rsid w:val="00A1449E"/>
    <w:rsid w:val="00A14F27"/>
    <w:rsid w:val="00A15747"/>
    <w:rsid w:val="00A15CC3"/>
    <w:rsid w:val="00A21EBF"/>
    <w:rsid w:val="00A22578"/>
    <w:rsid w:val="00A23E87"/>
    <w:rsid w:val="00A25399"/>
    <w:rsid w:val="00A25A60"/>
    <w:rsid w:val="00A25CD6"/>
    <w:rsid w:val="00A273EE"/>
    <w:rsid w:val="00A2744E"/>
    <w:rsid w:val="00A27CBE"/>
    <w:rsid w:val="00A3126A"/>
    <w:rsid w:val="00A321EC"/>
    <w:rsid w:val="00A32645"/>
    <w:rsid w:val="00A33806"/>
    <w:rsid w:val="00A3579C"/>
    <w:rsid w:val="00A37471"/>
    <w:rsid w:val="00A37EE2"/>
    <w:rsid w:val="00A401B3"/>
    <w:rsid w:val="00A42021"/>
    <w:rsid w:val="00A44603"/>
    <w:rsid w:val="00A46E14"/>
    <w:rsid w:val="00A47D11"/>
    <w:rsid w:val="00A51A02"/>
    <w:rsid w:val="00A51B91"/>
    <w:rsid w:val="00A524DC"/>
    <w:rsid w:val="00A56A9B"/>
    <w:rsid w:val="00A6276C"/>
    <w:rsid w:val="00A6376B"/>
    <w:rsid w:val="00A637AD"/>
    <w:rsid w:val="00A63E60"/>
    <w:rsid w:val="00A65A85"/>
    <w:rsid w:val="00A65F6F"/>
    <w:rsid w:val="00A66EB2"/>
    <w:rsid w:val="00A7075C"/>
    <w:rsid w:val="00A71827"/>
    <w:rsid w:val="00A74DD2"/>
    <w:rsid w:val="00A75798"/>
    <w:rsid w:val="00A7643C"/>
    <w:rsid w:val="00A76471"/>
    <w:rsid w:val="00A764CF"/>
    <w:rsid w:val="00A77153"/>
    <w:rsid w:val="00A77283"/>
    <w:rsid w:val="00A77B3D"/>
    <w:rsid w:val="00A814B3"/>
    <w:rsid w:val="00A840DB"/>
    <w:rsid w:val="00A85596"/>
    <w:rsid w:val="00A8603B"/>
    <w:rsid w:val="00A8647D"/>
    <w:rsid w:val="00A90259"/>
    <w:rsid w:val="00A91DB2"/>
    <w:rsid w:val="00A92285"/>
    <w:rsid w:val="00A93234"/>
    <w:rsid w:val="00A958B7"/>
    <w:rsid w:val="00A9638E"/>
    <w:rsid w:val="00A96883"/>
    <w:rsid w:val="00A968F2"/>
    <w:rsid w:val="00A97B11"/>
    <w:rsid w:val="00AA1079"/>
    <w:rsid w:val="00AA45F7"/>
    <w:rsid w:val="00AA4B24"/>
    <w:rsid w:val="00AA61E2"/>
    <w:rsid w:val="00AA7587"/>
    <w:rsid w:val="00AA78DD"/>
    <w:rsid w:val="00AB0688"/>
    <w:rsid w:val="00AB06C2"/>
    <w:rsid w:val="00AB0E52"/>
    <w:rsid w:val="00AB1455"/>
    <w:rsid w:val="00AB169B"/>
    <w:rsid w:val="00AB35C5"/>
    <w:rsid w:val="00AB4BE0"/>
    <w:rsid w:val="00AB721C"/>
    <w:rsid w:val="00AB7FE8"/>
    <w:rsid w:val="00AC0044"/>
    <w:rsid w:val="00AC2389"/>
    <w:rsid w:val="00AC249F"/>
    <w:rsid w:val="00AC463B"/>
    <w:rsid w:val="00AC5280"/>
    <w:rsid w:val="00AC60BD"/>
    <w:rsid w:val="00AC6A20"/>
    <w:rsid w:val="00AD02AD"/>
    <w:rsid w:val="00AD3D4B"/>
    <w:rsid w:val="00AD5949"/>
    <w:rsid w:val="00AD6E28"/>
    <w:rsid w:val="00AD761A"/>
    <w:rsid w:val="00AE04EC"/>
    <w:rsid w:val="00AE0521"/>
    <w:rsid w:val="00AE0F0E"/>
    <w:rsid w:val="00AE1045"/>
    <w:rsid w:val="00AE278D"/>
    <w:rsid w:val="00AE3010"/>
    <w:rsid w:val="00AE4408"/>
    <w:rsid w:val="00AE4DEB"/>
    <w:rsid w:val="00AE705F"/>
    <w:rsid w:val="00AE7A9A"/>
    <w:rsid w:val="00AF0396"/>
    <w:rsid w:val="00AF10C3"/>
    <w:rsid w:val="00AF2410"/>
    <w:rsid w:val="00AF2A75"/>
    <w:rsid w:val="00AF34C1"/>
    <w:rsid w:val="00AF62C5"/>
    <w:rsid w:val="00AF6812"/>
    <w:rsid w:val="00AF7F99"/>
    <w:rsid w:val="00B0182A"/>
    <w:rsid w:val="00B03B33"/>
    <w:rsid w:val="00B03F28"/>
    <w:rsid w:val="00B049C2"/>
    <w:rsid w:val="00B0533C"/>
    <w:rsid w:val="00B05441"/>
    <w:rsid w:val="00B0559D"/>
    <w:rsid w:val="00B06A9A"/>
    <w:rsid w:val="00B07055"/>
    <w:rsid w:val="00B0762D"/>
    <w:rsid w:val="00B07BD3"/>
    <w:rsid w:val="00B10163"/>
    <w:rsid w:val="00B10D1D"/>
    <w:rsid w:val="00B12002"/>
    <w:rsid w:val="00B12470"/>
    <w:rsid w:val="00B13708"/>
    <w:rsid w:val="00B13B5F"/>
    <w:rsid w:val="00B14AFB"/>
    <w:rsid w:val="00B15341"/>
    <w:rsid w:val="00B15FD5"/>
    <w:rsid w:val="00B20613"/>
    <w:rsid w:val="00B2181A"/>
    <w:rsid w:val="00B21A3D"/>
    <w:rsid w:val="00B21FC1"/>
    <w:rsid w:val="00B2311C"/>
    <w:rsid w:val="00B26841"/>
    <w:rsid w:val="00B2768C"/>
    <w:rsid w:val="00B27D15"/>
    <w:rsid w:val="00B30AEE"/>
    <w:rsid w:val="00B30E9B"/>
    <w:rsid w:val="00B31CAA"/>
    <w:rsid w:val="00B32B0F"/>
    <w:rsid w:val="00B32CD1"/>
    <w:rsid w:val="00B35FA8"/>
    <w:rsid w:val="00B36103"/>
    <w:rsid w:val="00B4183A"/>
    <w:rsid w:val="00B4216F"/>
    <w:rsid w:val="00B42466"/>
    <w:rsid w:val="00B44E12"/>
    <w:rsid w:val="00B46E64"/>
    <w:rsid w:val="00B470EF"/>
    <w:rsid w:val="00B47B64"/>
    <w:rsid w:val="00B50057"/>
    <w:rsid w:val="00B52AAC"/>
    <w:rsid w:val="00B53D68"/>
    <w:rsid w:val="00B54CDA"/>
    <w:rsid w:val="00B5501C"/>
    <w:rsid w:val="00B55092"/>
    <w:rsid w:val="00B56826"/>
    <w:rsid w:val="00B57501"/>
    <w:rsid w:val="00B603EF"/>
    <w:rsid w:val="00B633E9"/>
    <w:rsid w:val="00B63549"/>
    <w:rsid w:val="00B63DD9"/>
    <w:rsid w:val="00B65C0D"/>
    <w:rsid w:val="00B66740"/>
    <w:rsid w:val="00B6754E"/>
    <w:rsid w:val="00B677DC"/>
    <w:rsid w:val="00B677F7"/>
    <w:rsid w:val="00B73098"/>
    <w:rsid w:val="00B74D90"/>
    <w:rsid w:val="00B757FE"/>
    <w:rsid w:val="00B81022"/>
    <w:rsid w:val="00B8142C"/>
    <w:rsid w:val="00B81850"/>
    <w:rsid w:val="00B8323D"/>
    <w:rsid w:val="00B8334B"/>
    <w:rsid w:val="00B84F85"/>
    <w:rsid w:val="00B85578"/>
    <w:rsid w:val="00B85743"/>
    <w:rsid w:val="00B85881"/>
    <w:rsid w:val="00B91408"/>
    <w:rsid w:val="00B94631"/>
    <w:rsid w:val="00B95719"/>
    <w:rsid w:val="00B963A3"/>
    <w:rsid w:val="00B97C3A"/>
    <w:rsid w:val="00BA03E4"/>
    <w:rsid w:val="00BA0F02"/>
    <w:rsid w:val="00BA152F"/>
    <w:rsid w:val="00BA254C"/>
    <w:rsid w:val="00BA2CCC"/>
    <w:rsid w:val="00BA3645"/>
    <w:rsid w:val="00BA4B85"/>
    <w:rsid w:val="00BA7126"/>
    <w:rsid w:val="00BA7518"/>
    <w:rsid w:val="00BA7712"/>
    <w:rsid w:val="00BB0FE0"/>
    <w:rsid w:val="00BB2527"/>
    <w:rsid w:val="00BB32AA"/>
    <w:rsid w:val="00BB410C"/>
    <w:rsid w:val="00BB4A93"/>
    <w:rsid w:val="00BB68E0"/>
    <w:rsid w:val="00BB6B8A"/>
    <w:rsid w:val="00BC109A"/>
    <w:rsid w:val="00BC3186"/>
    <w:rsid w:val="00BC48AA"/>
    <w:rsid w:val="00BC51D9"/>
    <w:rsid w:val="00BC5628"/>
    <w:rsid w:val="00BC5FD3"/>
    <w:rsid w:val="00BC65F1"/>
    <w:rsid w:val="00BD0FFF"/>
    <w:rsid w:val="00BD18E0"/>
    <w:rsid w:val="00BD738C"/>
    <w:rsid w:val="00BE2948"/>
    <w:rsid w:val="00BE471C"/>
    <w:rsid w:val="00BE6129"/>
    <w:rsid w:val="00BE6D63"/>
    <w:rsid w:val="00BE747F"/>
    <w:rsid w:val="00BE79DE"/>
    <w:rsid w:val="00BE79E8"/>
    <w:rsid w:val="00BE7D71"/>
    <w:rsid w:val="00BF03DB"/>
    <w:rsid w:val="00BF04CB"/>
    <w:rsid w:val="00BF30EB"/>
    <w:rsid w:val="00BF368C"/>
    <w:rsid w:val="00BF446A"/>
    <w:rsid w:val="00BF4833"/>
    <w:rsid w:val="00BF53D6"/>
    <w:rsid w:val="00BF7038"/>
    <w:rsid w:val="00C00B4E"/>
    <w:rsid w:val="00C00DB8"/>
    <w:rsid w:val="00C03A6E"/>
    <w:rsid w:val="00C03D50"/>
    <w:rsid w:val="00C04668"/>
    <w:rsid w:val="00C04C05"/>
    <w:rsid w:val="00C055B5"/>
    <w:rsid w:val="00C05739"/>
    <w:rsid w:val="00C05F31"/>
    <w:rsid w:val="00C07742"/>
    <w:rsid w:val="00C07F51"/>
    <w:rsid w:val="00C11253"/>
    <w:rsid w:val="00C12B33"/>
    <w:rsid w:val="00C14483"/>
    <w:rsid w:val="00C17431"/>
    <w:rsid w:val="00C200E4"/>
    <w:rsid w:val="00C207FC"/>
    <w:rsid w:val="00C21E2E"/>
    <w:rsid w:val="00C238F0"/>
    <w:rsid w:val="00C23FE7"/>
    <w:rsid w:val="00C24653"/>
    <w:rsid w:val="00C253BA"/>
    <w:rsid w:val="00C274F0"/>
    <w:rsid w:val="00C27F61"/>
    <w:rsid w:val="00C30D7E"/>
    <w:rsid w:val="00C32382"/>
    <w:rsid w:val="00C34278"/>
    <w:rsid w:val="00C4042E"/>
    <w:rsid w:val="00C4067B"/>
    <w:rsid w:val="00C4293B"/>
    <w:rsid w:val="00C42EEC"/>
    <w:rsid w:val="00C43EE1"/>
    <w:rsid w:val="00C44B69"/>
    <w:rsid w:val="00C457C1"/>
    <w:rsid w:val="00C457C9"/>
    <w:rsid w:val="00C45894"/>
    <w:rsid w:val="00C46030"/>
    <w:rsid w:val="00C46D45"/>
    <w:rsid w:val="00C46DDE"/>
    <w:rsid w:val="00C47A54"/>
    <w:rsid w:val="00C52D3B"/>
    <w:rsid w:val="00C53569"/>
    <w:rsid w:val="00C54EBA"/>
    <w:rsid w:val="00C558D7"/>
    <w:rsid w:val="00C61043"/>
    <w:rsid w:val="00C62913"/>
    <w:rsid w:val="00C62A57"/>
    <w:rsid w:val="00C62B04"/>
    <w:rsid w:val="00C632C5"/>
    <w:rsid w:val="00C6475E"/>
    <w:rsid w:val="00C64E06"/>
    <w:rsid w:val="00C6574A"/>
    <w:rsid w:val="00C66070"/>
    <w:rsid w:val="00C70B1A"/>
    <w:rsid w:val="00C71431"/>
    <w:rsid w:val="00C71E2C"/>
    <w:rsid w:val="00C72C43"/>
    <w:rsid w:val="00C73FE5"/>
    <w:rsid w:val="00C74331"/>
    <w:rsid w:val="00C7467A"/>
    <w:rsid w:val="00C7487E"/>
    <w:rsid w:val="00C76528"/>
    <w:rsid w:val="00C76B5F"/>
    <w:rsid w:val="00C77C95"/>
    <w:rsid w:val="00C8044E"/>
    <w:rsid w:val="00C81F74"/>
    <w:rsid w:val="00C82246"/>
    <w:rsid w:val="00C83D7E"/>
    <w:rsid w:val="00C8730B"/>
    <w:rsid w:val="00C901DD"/>
    <w:rsid w:val="00C907AD"/>
    <w:rsid w:val="00C930D7"/>
    <w:rsid w:val="00C932E1"/>
    <w:rsid w:val="00C93931"/>
    <w:rsid w:val="00C956A2"/>
    <w:rsid w:val="00C977A0"/>
    <w:rsid w:val="00CA064D"/>
    <w:rsid w:val="00CA0A70"/>
    <w:rsid w:val="00CA0CD6"/>
    <w:rsid w:val="00CA11A3"/>
    <w:rsid w:val="00CA442B"/>
    <w:rsid w:val="00CA4512"/>
    <w:rsid w:val="00CA4732"/>
    <w:rsid w:val="00CA4959"/>
    <w:rsid w:val="00CA5983"/>
    <w:rsid w:val="00CA6152"/>
    <w:rsid w:val="00CA6BFA"/>
    <w:rsid w:val="00CA6C04"/>
    <w:rsid w:val="00CA710A"/>
    <w:rsid w:val="00CB02F8"/>
    <w:rsid w:val="00CB1162"/>
    <w:rsid w:val="00CB118B"/>
    <w:rsid w:val="00CB172E"/>
    <w:rsid w:val="00CB178C"/>
    <w:rsid w:val="00CB1A02"/>
    <w:rsid w:val="00CB1BCB"/>
    <w:rsid w:val="00CB2100"/>
    <w:rsid w:val="00CB27E6"/>
    <w:rsid w:val="00CB2FD9"/>
    <w:rsid w:val="00CB3BC9"/>
    <w:rsid w:val="00CB5BA8"/>
    <w:rsid w:val="00CB65A6"/>
    <w:rsid w:val="00CB7EF2"/>
    <w:rsid w:val="00CC0B88"/>
    <w:rsid w:val="00CC1487"/>
    <w:rsid w:val="00CC3261"/>
    <w:rsid w:val="00CC3A24"/>
    <w:rsid w:val="00CC420C"/>
    <w:rsid w:val="00CC4805"/>
    <w:rsid w:val="00CC4D92"/>
    <w:rsid w:val="00CC70EF"/>
    <w:rsid w:val="00CC724E"/>
    <w:rsid w:val="00CD0287"/>
    <w:rsid w:val="00CD09F2"/>
    <w:rsid w:val="00CD0C2E"/>
    <w:rsid w:val="00CD15BE"/>
    <w:rsid w:val="00CD37E0"/>
    <w:rsid w:val="00CD48A3"/>
    <w:rsid w:val="00CD4CB4"/>
    <w:rsid w:val="00CD4F17"/>
    <w:rsid w:val="00CD6A0B"/>
    <w:rsid w:val="00CD7C86"/>
    <w:rsid w:val="00CE0950"/>
    <w:rsid w:val="00CE0C08"/>
    <w:rsid w:val="00CE1307"/>
    <w:rsid w:val="00CE13C3"/>
    <w:rsid w:val="00CE2621"/>
    <w:rsid w:val="00CE2B6F"/>
    <w:rsid w:val="00CE4385"/>
    <w:rsid w:val="00CE4CDA"/>
    <w:rsid w:val="00CF343B"/>
    <w:rsid w:val="00CF35A7"/>
    <w:rsid w:val="00CF3911"/>
    <w:rsid w:val="00CF392D"/>
    <w:rsid w:val="00CF4725"/>
    <w:rsid w:val="00CF56A3"/>
    <w:rsid w:val="00CF5A98"/>
    <w:rsid w:val="00CF5C8F"/>
    <w:rsid w:val="00D007B2"/>
    <w:rsid w:val="00D04C06"/>
    <w:rsid w:val="00D06FD6"/>
    <w:rsid w:val="00D07491"/>
    <w:rsid w:val="00D07F92"/>
    <w:rsid w:val="00D102C5"/>
    <w:rsid w:val="00D119A0"/>
    <w:rsid w:val="00D11D14"/>
    <w:rsid w:val="00D11E67"/>
    <w:rsid w:val="00D126B4"/>
    <w:rsid w:val="00D12DFB"/>
    <w:rsid w:val="00D15296"/>
    <w:rsid w:val="00D152F6"/>
    <w:rsid w:val="00D15C8F"/>
    <w:rsid w:val="00D17136"/>
    <w:rsid w:val="00D2084D"/>
    <w:rsid w:val="00D20950"/>
    <w:rsid w:val="00D20CD8"/>
    <w:rsid w:val="00D2187A"/>
    <w:rsid w:val="00D2211F"/>
    <w:rsid w:val="00D22883"/>
    <w:rsid w:val="00D23C30"/>
    <w:rsid w:val="00D25E21"/>
    <w:rsid w:val="00D263C6"/>
    <w:rsid w:val="00D26BA6"/>
    <w:rsid w:val="00D26CEF"/>
    <w:rsid w:val="00D312BA"/>
    <w:rsid w:val="00D31310"/>
    <w:rsid w:val="00D327DA"/>
    <w:rsid w:val="00D32D69"/>
    <w:rsid w:val="00D334BD"/>
    <w:rsid w:val="00D342AE"/>
    <w:rsid w:val="00D34CF9"/>
    <w:rsid w:val="00D3501B"/>
    <w:rsid w:val="00D35EE0"/>
    <w:rsid w:val="00D3651E"/>
    <w:rsid w:val="00D366F8"/>
    <w:rsid w:val="00D36C82"/>
    <w:rsid w:val="00D376F8"/>
    <w:rsid w:val="00D37E7C"/>
    <w:rsid w:val="00D37FBC"/>
    <w:rsid w:val="00D40DE4"/>
    <w:rsid w:val="00D45573"/>
    <w:rsid w:val="00D45F96"/>
    <w:rsid w:val="00D461E4"/>
    <w:rsid w:val="00D475CC"/>
    <w:rsid w:val="00D51114"/>
    <w:rsid w:val="00D52131"/>
    <w:rsid w:val="00D53E1B"/>
    <w:rsid w:val="00D550FF"/>
    <w:rsid w:val="00D55AB3"/>
    <w:rsid w:val="00D57A4B"/>
    <w:rsid w:val="00D63474"/>
    <w:rsid w:val="00D63926"/>
    <w:rsid w:val="00D642E7"/>
    <w:rsid w:val="00D657CD"/>
    <w:rsid w:val="00D6685D"/>
    <w:rsid w:val="00D6746A"/>
    <w:rsid w:val="00D7131B"/>
    <w:rsid w:val="00D71BB3"/>
    <w:rsid w:val="00D73510"/>
    <w:rsid w:val="00D738F0"/>
    <w:rsid w:val="00D74210"/>
    <w:rsid w:val="00D7524B"/>
    <w:rsid w:val="00D75DF3"/>
    <w:rsid w:val="00D761A4"/>
    <w:rsid w:val="00D770C6"/>
    <w:rsid w:val="00D804DE"/>
    <w:rsid w:val="00D812C0"/>
    <w:rsid w:val="00D81CC4"/>
    <w:rsid w:val="00D81E97"/>
    <w:rsid w:val="00D82613"/>
    <w:rsid w:val="00D867DD"/>
    <w:rsid w:val="00D868E9"/>
    <w:rsid w:val="00D8726F"/>
    <w:rsid w:val="00D87C9F"/>
    <w:rsid w:val="00D902F6"/>
    <w:rsid w:val="00D9089F"/>
    <w:rsid w:val="00D91A7C"/>
    <w:rsid w:val="00D92BBE"/>
    <w:rsid w:val="00D92F74"/>
    <w:rsid w:val="00D92FBC"/>
    <w:rsid w:val="00D946D3"/>
    <w:rsid w:val="00D947B1"/>
    <w:rsid w:val="00D96F3A"/>
    <w:rsid w:val="00D97629"/>
    <w:rsid w:val="00D979C1"/>
    <w:rsid w:val="00DA0195"/>
    <w:rsid w:val="00DA062E"/>
    <w:rsid w:val="00DA14FD"/>
    <w:rsid w:val="00DA2471"/>
    <w:rsid w:val="00DA4E4A"/>
    <w:rsid w:val="00DA7EAD"/>
    <w:rsid w:val="00DB018D"/>
    <w:rsid w:val="00DB0810"/>
    <w:rsid w:val="00DB2AA1"/>
    <w:rsid w:val="00DB2D07"/>
    <w:rsid w:val="00DB3C3B"/>
    <w:rsid w:val="00DB5CA6"/>
    <w:rsid w:val="00DB7A07"/>
    <w:rsid w:val="00DB7C31"/>
    <w:rsid w:val="00DB7D6E"/>
    <w:rsid w:val="00DC0117"/>
    <w:rsid w:val="00DC29F2"/>
    <w:rsid w:val="00DC42E3"/>
    <w:rsid w:val="00DC4904"/>
    <w:rsid w:val="00DC4E41"/>
    <w:rsid w:val="00DC6E8D"/>
    <w:rsid w:val="00DC7EA2"/>
    <w:rsid w:val="00DD182E"/>
    <w:rsid w:val="00DD2BE2"/>
    <w:rsid w:val="00DD465E"/>
    <w:rsid w:val="00DD5DD7"/>
    <w:rsid w:val="00DD5DDB"/>
    <w:rsid w:val="00DE1AB3"/>
    <w:rsid w:val="00DE1B60"/>
    <w:rsid w:val="00DE2C98"/>
    <w:rsid w:val="00DE3267"/>
    <w:rsid w:val="00DE3E9D"/>
    <w:rsid w:val="00DE44FD"/>
    <w:rsid w:val="00DE45F4"/>
    <w:rsid w:val="00DE534D"/>
    <w:rsid w:val="00DE6BA2"/>
    <w:rsid w:val="00DE73A4"/>
    <w:rsid w:val="00DF13BB"/>
    <w:rsid w:val="00DF16C9"/>
    <w:rsid w:val="00DF2081"/>
    <w:rsid w:val="00DF2FAE"/>
    <w:rsid w:val="00DF307D"/>
    <w:rsid w:val="00DF4AB9"/>
    <w:rsid w:val="00DF5EFA"/>
    <w:rsid w:val="00E01E64"/>
    <w:rsid w:val="00E01EF3"/>
    <w:rsid w:val="00E02007"/>
    <w:rsid w:val="00E0242C"/>
    <w:rsid w:val="00E0367E"/>
    <w:rsid w:val="00E04138"/>
    <w:rsid w:val="00E052FB"/>
    <w:rsid w:val="00E0633F"/>
    <w:rsid w:val="00E10FAA"/>
    <w:rsid w:val="00E11024"/>
    <w:rsid w:val="00E13AAA"/>
    <w:rsid w:val="00E14359"/>
    <w:rsid w:val="00E14F15"/>
    <w:rsid w:val="00E201FC"/>
    <w:rsid w:val="00E202D7"/>
    <w:rsid w:val="00E21695"/>
    <w:rsid w:val="00E2180D"/>
    <w:rsid w:val="00E222C5"/>
    <w:rsid w:val="00E22F87"/>
    <w:rsid w:val="00E24515"/>
    <w:rsid w:val="00E24F35"/>
    <w:rsid w:val="00E25276"/>
    <w:rsid w:val="00E25358"/>
    <w:rsid w:val="00E25441"/>
    <w:rsid w:val="00E25F1A"/>
    <w:rsid w:val="00E30A60"/>
    <w:rsid w:val="00E30C26"/>
    <w:rsid w:val="00E30E07"/>
    <w:rsid w:val="00E3110D"/>
    <w:rsid w:val="00E31D9F"/>
    <w:rsid w:val="00E325BB"/>
    <w:rsid w:val="00E331AC"/>
    <w:rsid w:val="00E33DD6"/>
    <w:rsid w:val="00E34E6E"/>
    <w:rsid w:val="00E34EC6"/>
    <w:rsid w:val="00E35CDC"/>
    <w:rsid w:val="00E36316"/>
    <w:rsid w:val="00E36F76"/>
    <w:rsid w:val="00E37117"/>
    <w:rsid w:val="00E3762B"/>
    <w:rsid w:val="00E414C2"/>
    <w:rsid w:val="00E41E96"/>
    <w:rsid w:val="00E44556"/>
    <w:rsid w:val="00E445E5"/>
    <w:rsid w:val="00E46890"/>
    <w:rsid w:val="00E471FE"/>
    <w:rsid w:val="00E476D0"/>
    <w:rsid w:val="00E47E00"/>
    <w:rsid w:val="00E5131C"/>
    <w:rsid w:val="00E51808"/>
    <w:rsid w:val="00E51C3E"/>
    <w:rsid w:val="00E52B79"/>
    <w:rsid w:val="00E53311"/>
    <w:rsid w:val="00E53DF3"/>
    <w:rsid w:val="00E55CE5"/>
    <w:rsid w:val="00E57AF8"/>
    <w:rsid w:val="00E60DFB"/>
    <w:rsid w:val="00E616C6"/>
    <w:rsid w:val="00E62C95"/>
    <w:rsid w:val="00E6325B"/>
    <w:rsid w:val="00E64540"/>
    <w:rsid w:val="00E64E56"/>
    <w:rsid w:val="00E6538E"/>
    <w:rsid w:val="00E657BC"/>
    <w:rsid w:val="00E6719E"/>
    <w:rsid w:val="00E675AF"/>
    <w:rsid w:val="00E72B19"/>
    <w:rsid w:val="00E753F7"/>
    <w:rsid w:val="00E760F6"/>
    <w:rsid w:val="00E76E56"/>
    <w:rsid w:val="00E80C2C"/>
    <w:rsid w:val="00E81FAF"/>
    <w:rsid w:val="00E83343"/>
    <w:rsid w:val="00E847C3"/>
    <w:rsid w:val="00E848F4"/>
    <w:rsid w:val="00E84F5C"/>
    <w:rsid w:val="00E8522E"/>
    <w:rsid w:val="00E86223"/>
    <w:rsid w:val="00E8633E"/>
    <w:rsid w:val="00E863F0"/>
    <w:rsid w:val="00E86490"/>
    <w:rsid w:val="00E87428"/>
    <w:rsid w:val="00E90D1E"/>
    <w:rsid w:val="00E90D2E"/>
    <w:rsid w:val="00E91542"/>
    <w:rsid w:val="00E919F5"/>
    <w:rsid w:val="00E92FD4"/>
    <w:rsid w:val="00E94039"/>
    <w:rsid w:val="00E94D25"/>
    <w:rsid w:val="00E95E89"/>
    <w:rsid w:val="00E97E4D"/>
    <w:rsid w:val="00EA16DF"/>
    <w:rsid w:val="00EA1929"/>
    <w:rsid w:val="00EA1EE7"/>
    <w:rsid w:val="00EA524B"/>
    <w:rsid w:val="00EB05E7"/>
    <w:rsid w:val="00EB06FE"/>
    <w:rsid w:val="00EB350D"/>
    <w:rsid w:val="00EB4FE9"/>
    <w:rsid w:val="00EB5056"/>
    <w:rsid w:val="00EB524E"/>
    <w:rsid w:val="00EB5831"/>
    <w:rsid w:val="00EB5B91"/>
    <w:rsid w:val="00EB6303"/>
    <w:rsid w:val="00EB6760"/>
    <w:rsid w:val="00EB6B6C"/>
    <w:rsid w:val="00EB7AA8"/>
    <w:rsid w:val="00EC09CC"/>
    <w:rsid w:val="00EC09E7"/>
    <w:rsid w:val="00EC0CD8"/>
    <w:rsid w:val="00EC3D78"/>
    <w:rsid w:val="00EC3F40"/>
    <w:rsid w:val="00EC6F18"/>
    <w:rsid w:val="00EC7015"/>
    <w:rsid w:val="00EC7184"/>
    <w:rsid w:val="00EC7C42"/>
    <w:rsid w:val="00ED0209"/>
    <w:rsid w:val="00ED045B"/>
    <w:rsid w:val="00ED126A"/>
    <w:rsid w:val="00ED16BE"/>
    <w:rsid w:val="00ED1D35"/>
    <w:rsid w:val="00ED292F"/>
    <w:rsid w:val="00ED2A5C"/>
    <w:rsid w:val="00ED36A4"/>
    <w:rsid w:val="00ED3CCA"/>
    <w:rsid w:val="00ED552E"/>
    <w:rsid w:val="00ED5F6D"/>
    <w:rsid w:val="00ED6E66"/>
    <w:rsid w:val="00ED6FE1"/>
    <w:rsid w:val="00ED7344"/>
    <w:rsid w:val="00EE0000"/>
    <w:rsid w:val="00EE137D"/>
    <w:rsid w:val="00EE43C6"/>
    <w:rsid w:val="00EE44F6"/>
    <w:rsid w:val="00EE519F"/>
    <w:rsid w:val="00EE573B"/>
    <w:rsid w:val="00EE5E31"/>
    <w:rsid w:val="00EE6273"/>
    <w:rsid w:val="00EE740E"/>
    <w:rsid w:val="00EE7D9F"/>
    <w:rsid w:val="00EF066A"/>
    <w:rsid w:val="00EF0B3E"/>
    <w:rsid w:val="00EF0BBF"/>
    <w:rsid w:val="00EF136F"/>
    <w:rsid w:val="00EF2290"/>
    <w:rsid w:val="00EF271A"/>
    <w:rsid w:val="00EF4BC9"/>
    <w:rsid w:val="00EF5144"/>
    <w:rsid w:val="00EF5B8F"/>
    <w:rsid w:val="00F00633"/>
    <w:rsid w:val="00F00C6D"/>
    <w:rsid w:val="00F03E4B"/>
    <w:rsid w:val="00F045AC"/>
    <w:rsid w:val="00F04F0C"/>
    <w:rsid w:val="00F05980"/>
    <w:rsid w:val="00F061D0"/>
    <w:rsid w:val="00F066CE"/>
    <w:rsid w:val="00F06CD6"/>
    <w:rsid w:val="00F07E0E"/>
    <w:rsid w:val="00F07E10"/>
    <w:rsid w:val="00F10293"/>
    <w:rsid w:val="00F10B4B"/>
    <w:rsid w:val="00F15168"/>
    <w:rsid w:val="00F15547"/>
    <w:rsid w:val="00F15F46"/>
    <w:rsid w:val="00F168AC"/>
    <w:rsid w:val="00F21C8A"/>
    <w:rsid w:val="00F24F02"/>
    <w:rsid w:val="00F25C99"/>
    <w:rsid w:val="00F30864"/>
    <w:rsid w:val="00F32142"/>
    <w:rsid w:val="00F330BA"/>
    <w:rsid w:val="00F33BC8"/>
    <w:rsid w:val="00F359DF"/>
    <w:rsid w:val="00F35BB0"/>
    <w:rsid w:val="00F36B43"/>
    <w:rsid w:val="00F37232"/>
    <w:rsid w:val="00F37280"/>
    <w:rsid w:val="00F379A8"/>
    <w:rsid w:val="00F37C7B"/>
    <w:rsid w:val="00F40195"/>
    <w:rsid w:val="00F4158C"/>
    <w:rsid w:val="00F4225E"/>
    <w:rsid w:val="00F428AE"/>
    <w:rsid w:val="00F42AE2"/>
    <w:rsid w:val="00F44DE6"/>
    <w:rsid w:val="00F455E0"/>
    <w:rsid w:val="00F45865"/>
    <w:rsid w:val="00F45F74"/>
    <w:rsid w:val="00F469D1"/>
    <w:rsid w:val="00F50CBD"/>
    <w:rsid w:val="00F526D9"/>
    <w:rsid w:val="00F52C9F"/>
    <w:rsid w:val="00F544D7"/>
    <w:rsid w:val="00F5696E"/>
    <w:rsid w:val="00F575D7"/>
    <w:rsid w:val="00F57D61"/>
    <w:rsid w:val="00F60775"/>
    <w:rsid w:val="00F60956"/>
    <w:rsid w:val="00F635B0"/>
    <w:rsid w:val="00F64210"/>
    <w:rsid w:val="00F6562C"/>
    <w:rsid w:val="00F658E2"/>
    <w:rsid w:val="00F669F9"/>
    <w:rsid w:val="00F67430"/>
    <w:rsid w:val="00F704B0"/>
    <w:rsid w:val="00F71D03"/>
    <w:rsid w:val="00F75BEA"/>
    <w:rsid w:val="00F76847"/>
    <w:rsid w:val="00F77267"/>
    <w:rsid w:val="00F8133D"/>
    <w:rsid w:val="00F816FE"/>
    <w:rsid w:val="00F81858"/>
    <w:rsid w:val="00F81A54"/>
    <w:rsid w:val="00F82514"/>
    <w:rsid w:val="00F82F3E"/>
    <w:rsid w:val="00F8426B"/>
    <w:rsid w:val="00F85921"/>
    <w:rsid w:val="00F87509"/>
    <w:rsid w:val="00F90FC0"/>
    <w:rsid w:val="00F93D43"/>
    <w:rsid w:val="00F94D23"/>
    <w:rsid w:val="00F95E6C"/>
    <w:rsid w:val="00F96089"/>
    <w:rsid w:val="00F963AD"/>
    <w:rsid w:val="00F966E4"/>
    <w:rsid w:val="00FA0385"/>
    <w:rsid w:val="00FA1078"/>
    <w:rsid w:val="00FA16EA"/>
    <w:rsid w:val="00FA26E4"/>
    <w:rsid w:val="00FA351A"/>
    <w:rsid w:val="00FA3749"/>
    <w:rsid w:val="00FA5962"/>
    <w:rsid w:val="00FA7396"/>
    <w:rsid w:val="00FA7788"/>
    <w:rsid w:val="00FA78FF"/>
    <w:rsid w:val="00FB0213"/>
    <w:rsid w:val="00FB0C6D"/>
    <w:rsid w:val="00FB1159"/>
    <w:rsid w:val="00FB1A45"/>
    <w:rsid w:val="00FB1E1C"/>
    <w:rsid w:val="00FB4226"/>
    <w:rsid w:val="00FB4343"/>
    <w:rsid w:val="00FB6F23"/>
    <w:rsid w:val="00FC0985"/>
    <w:rsid w:val="00FC0C0F"/>
    <w:rsid w:val="00FC0E9C"/>
    <w:rsid w:val="00FC2BB2"/>
    <w:rsid w:val="00FC4D7F"/>
    <w:rsid w:val="00FC5300"/>
    <w:rsid w:val="00FD1152"/>
    <w:rsid w:val="00FD12E1"/>
    <w:rsid w:val="00FD26F5"/>
    <w:rsid w:val="00FD316C"/>
    <w:rsid w:val="00FD38ED"/>
    <w:rsid w:val="00FD3ED7"/>
    <w:rsid w:val="00FD4660"/>
    <w:rsid w:val="00FD68D5"/>
    <w:rsid w:val="00FD71EC"/>
    <w:rsid w:val="00FE08A9"/>
    <w:rsid w:val="00FE144B"/>
    <w:rsid w:val="00FE1BBA"/>
    <w:rsid w:val="00FE4A1C"/>
    <w:rsid w:val="00FE6FBF"/>
    <w:rsid w:val="00FF0E22"/>
    <w:rsid w:val="00FF10FF"/>
    <w:rsid w:val="00FF1318"/>
    <w:rsid w:val="00FF2F6D"/>
    <w:rsid w:val="00FF3A1A"/>
    <w:rsid w:val="00FF44F3"/>
    <w:rsid w:val="00FF55A0"/>
    <w:rsid w:val="00FF65FB"/>
    <w:rsid w:val="00FF75DE"/>
    <w:rsid w:val="00FF780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1C947"/>
  <w15:chartTrackingRefBased/>
  <w15:docId w15:val="{5676E0A1-A271-7949-80E8-31EEFAAD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C16"/>
    <w:pPr>
      <w:spacing w:line="480" w:lineRule="auto"/>
      <w:jc w:val="both"/>
    </w:pPr>
    <w:rPr>
      <w:rFonts w:ascii="Arial" w:hAnsi="Arial" w:cs="Times New Roman (Body CS)"/>
      <w:sz w:val="24"/>
    </w:rPr>
  </w:style>
  <w:style w:type="paragraph" w:styleId="Heading1">
    <w:name w:val="heading 1"/>
    <w:basedOn w:val="Normal"/>
    <w:next w:val="Normal"/>
    <w:link w:val="Heading1Char"/>
    <w:uiPriority w:val="9"/>
    <w:qFormat/>
    <w:rsid w:val="007B595B"/>
    <w:pPr>
      <w:keepNext/>
      <w:keepLines/>
      <w:spacing w:before="240" w:after="300"/>
      <w:outlineLvl w:val="0"/>
    </w:pPr>
    <w:rPr>
      <w:rFonts w:eastAsiaTheme="majorEastAsia" w:cs="Times New Roman"/>
      <w:b/>
      <w:caps/>
      <w:szCs w:val="32"/>
    </w:rPr>
  </w:style>
  <w:style w:type="paragraph" w:styleId="Heading2">
    <w:name w:val="heading 2"/>
    <w:basedOn w:val="Normal"/>
    <w:next w:val="Normal"/>
    <w:link w:val="Heading2Char"/>
    <w:uiPriority w:val="9"/>
    <w:unhideWhenUsed/>
    <w:qFormat/>
    <w:rsid w:val="00A9638E"/>
    <w:pPr>
      <w:keepNext/>
      <w:keepLines/>
      <w:spacing w:before="40" w:after="240"/>
      <w:outlineLvl w:val="1"/>
    </w:pPr>
    <w:rPr>
      <w:rFonts w:eastAsiaTheme="majorEastAsia" w:cs="Times New Roman"/>
      <w:b/>
      <w:szCs w:val="26"/>
    </w:rPr>
  </w:style>
  <w:style w:type="paragraph" w:styleId="Heading3">
    <w:name w:val="heading 3"/>
    <w:basedOn w:val="Normal"/>
    <w:next w:val="Normal"/>
    <w:link w:val="Heading3Char"/>
    <w:uiPriority w:val="9"/>
    <w:unhideWhenUsed/>
    <w:qFormat/>
    <w:rsid w:val="00A9638E"/>
    <w:pPr>
      <w:keepNext/>
      <w:keepLines/>
      <w:spacing w:before="40" w:after="240"/>
      <w:outlineLvl w:val="2"/>
    </w:pPr>
    <w:rPr>
      <w:rFonts w:eastAsiaTheme="majorEastAsia" w:cstheme="majorBidi"/>
      <w: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578"/>
    <w:pPr>
      <w:numPr>
        <w:numId w:val="1"/>
      </w:numPr>
    </w:pPr>
    <w:rPr>
      <w:rFonts w:cs="Times New Roman"/>
      <w:szCs w:val="24"/>
    </w:rPr>
  </w:style>
  <w:style w:type="paragraph" w:styleId="Header">
    <w:name w:val="header"/>
    <w:basedOn w:val="Normal"/>
    <w:link w:val="HeaderChar"/>
    <w:uiPriority w:val="99"/>
    <w:unhideWhenUsed/>
    <w:rsid w:val="002432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21B"/>
  </w:style>
  <w:style w:type="paragraph" w:styleId="Footer">
    <w:name w:val="footer"/>
    <w:basedOn w:val="Normal"/>
    <w:link w:val="FooterChar"/>
    <w:uiPriority w:val="99"/>
    <w:unhideWhenUsed/>
    <w:rsid w:val="00417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844"/>
    <w:rPr>
      <w:rFonts w:ascii="Times New Roman" w:hAnsi="Times New Roman"/>
      <w:sz w:val="24"/>
    </w:rPr>
  </w:style>
  <w:style w:type="paragraph" w:styleId="FootnoteText">
    <w:name w:val="footnote text"/>
    <w:aliases w:val="Car"/>
    <w:basedOn w:val="Normal"/>
    <w:link w:val="FootnoteTextChar"/>
    <w:uiPriority w:val="99"/>
    <w:unhideWhenUsed/>
    <w:qFormat/>
    <w:rsid w:val="00417844"/>
    <w:pPr>
      <w:spacing w:after="0" w:line="360" w:lineRule="auto"/>
    </w:pPr>
    <w:rPr>
      <w:sz w:val="20"/>
      <w:szCs w:val="20"/>
    </w:rPr>
  </w:style>
  <w:style w:type="character" w:customStyle="1" w:styleId="FootnoteTextChar">
    <w:name w:val="Footnote Text Char"/>
    <w:aliases w:val="Car Char"/>
    <w:basedOn w:val="DefaultParagraphFont"/>
    <w:link w:val="FootnoteText"/>
    <w:uiPriority w:val="99"/>
    <w:rsid w:val="00417844"/>
    <w:rPr>
      <w:rFonts w:ascii="Times New Roman" w:hAnsi="Times New Roman"/>
      <w:sz w:val="20"/>
      <w:szCs w:val="20"/>
    </w:rPr>
  </w:style>
  <w:style w:type="character" w:styleId="FootnoteReference">
    <w:name w:val="footnote reference"/>
    <w:basedOn w:val="DefaultParagraphFont"/>
    <w:uiPriority w:val="99"/>
    <w:unhideWhenUsed/>
    <w:qFormat/>
    <w:rsid w:val="00EE7D9F"/>
    <w:rPr>
      <w:vertAlign w:val="superscript"/>
    </w:rPr>
  </w:style>
  <w:style w:type="character" w:customStyle="1" w:styleId="Heading1Char">
    <w:name w:val="Heading 1 Char"/>
    <w:basedOn w:val="DefaultParagraphFont"/>
    <w:link w:val="Heading1"/>
    <w:uiPriority w:val="9"/>
    <w:rsid w:val="007B595B"/>
    <w:rPr>
      <w:rFonts w:ascii="Arial" w:eastAsiaTheme="majorEastAsia" w:hAnsi="Arial" w:cs="Times New Roman"/>
      <w:b/>
      <w:caps/>
      <w:sz w:val="24"/>
      <w:szCs w:val="32"/>
    </w:rPr>
  </w:style>
  <w:style w:type="character" w:customStyle="1" w:styleId="Heading2Char">
    <w:name w:val="Heading 2 Char"/>
    <w:basedOn w:val="DefaultParagraphFont"/>
    <w:link w:val="Heading2"/>
    <w:uiPriority w:val="9"/>
    <w:rsid w:val="003329D4"/>
    <w:rPr>
      <w:rFonts w:ascii="Times New Roman" w:eastAsiaTheme="majorEastAsia" w:hAnsi="Times New Roman" w:cs="Times New Roman"/>
      <w:b/>
      <w:sz w:val="24"/>
      <w:szCs w:val="26"/>
    </w:rPr>
  </w:style>
  <w:style w:type="paragraph" w:styleId="Title">
    <w:name w:val="Title"/>
    <w:aliases w:val="Heading Three"/>
    <w:basedOn w:val="Normal"/>
    <w:next w:val="Normal"/>
    <w:link w:val="TitleChar"/>
    <w:uiPriority w:val="10"/>
    <w:qFormat/>
    <w:rsid w:val="00502D0C"/>
    <w:pPr>
      <w:spacing w:after="0"/>
      <w:contextualSpacing/>
    </w:pPr>
    <w:rPr>
      <w:rFonts w:eastAsiaTheme="majorEastAsia" w:cstheme="majorBidi"/>
      <w:i/>
      <w:spacing w:val="-10"/>
      <w:kern w:val="28"/>
      <w:szCs w:val="56"/>
    </w:rPr>
  </w:style>
  <w:style w:type="character" w:customStyle="1" w:styleId="TitleChar">
    <w:name w:val="Title Char"/>
    <w:aliases w:val="Heading Three Char"/>
    <w:basedOn w:val="DefaultParagraphFont"/>
    <w:link w:val="Title"/>
    <w:uiPriority w:val="10"/>
    <w:rsid w:val="00502D0C"/>
    <w:rPr>
      <w:rFonts w:ascii="Arial" w:eastAsiaTheme="majorEastAsia" w:hAnsi="Arial" w:cstheme="majorBidi"/>
      <w:i/>
      <w:spacing w:val="-10"/>
      <w:kern w:val="28"/>
      <w:sz w:val="24"/>
      <w:szCs w:val="56"/>
    </w:rPr>
  </w:style>
  <w:style w:type="paragraph" w:styleId="Quote">
    <w:name w:val="Quote"/>
    <w:basedOn w:val="Normal"/>
    <w:next w:val="Normal"/>
    <w:link w:val="QuoteChar"/>
    <w:uiPriority w:val="29"/>
    <w:qFormat/>
    <w:rsid w:val="0061431B"/>
    <w:pPr>
      <w:spacing w:after="240" w:line="360" w:lineRule="auto"/>
      <w:ind w:left="1440"/>
    </w:pPr>
    <w:rPr>
      <w:rFonts w:cs="Arial"/>
      <w:i/>
      <w:szCs w:val="24"/>
    </w:rPr>
  </w:style>
  <w:style w:type="character" w:customStyle="1" w:styleId="QuoteChar">
    <w:name w:val="Quote Char"/>
    <w:basedOn w:val="DefaultParagraphFont"/>
    <w:link w:val="Quote"/>
    <w:uiPriority w:val="29"/>
    <w:rsid w:val="0061431B"/>
    <w:rPr>
      <w:rFonts w:ascii="Times New Roman" w:hAnsi="Times New Roman" w:cs="Arial"/>
      <w:i/>
      <w:sz w:val="24"/>
      <w:szCs w:val="24"/>
    </w:rPr>
  </w:style>
  <w:style w:type="character" w:customStyle="1" w:styleId="Heading3Char">
    <w:name w:val="Heading 3 Char"/>
    <w:basedOn w:val="DefaultParagraphFont"/>
    <w:link w:val="Heading3"/>
    <w:uiPriority w:val="9"/>
    <w:rsid w:val="003329D4"/>
    <w:rPr>
      <w:rFonts w:ascii="Times New Roman" w:eastAsiaTheme="majorEastAsia" w:hAnsi="Times New Roman" w:cstheme="majorBidi"/>
      <w:i/>
      <w:sz w:val="24"/>
      <w:szCs w:val="24"/>
      <w:u w:val="single"/>
    </w:rPr>
  </w:style>
  <w:style w:type="paragraph" w:styleId="EndnoteText">
    <w:name w:val="endnote text"/>
    <w:basedOn w:val="Normal"/>
    <w:link w:val="EndnoteTextChar"/>
    <w:uiPriority w:val="99"/>
    <w:semiHidden/>
    <w:unhideWhenUsed/>
    <w:rsid w:val="00D902F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902F6"/>
    <w:rPr>
      <w:rFonts w:ascii="Arial" w:hAnsi="Arial"/>
      <w:sz w:val="20"/>
      <w:szCs w:val="20"/>
    </w:rPr>
  </w:style>
  <w:style w:type="character" w:styleId="EndnoteReference">
    <w:name w:val="endnote reference"/>
    <w:basedOn w:val="DefaultParagraphFont"/>
    <w:uiPriority w:val="99"/>
    <w:semiHidden/>
    <w:unhideWhenUsed/>
    <w:rsid w:val="00D902F6"/>
    <w:rPr>
      <w:vertAlign w:val="superscript"/>
    </w:rPr>
  </w:style>
  <w:style w:type="paragraph" w:customStyle="1" w:styleId="Numberin1">
    <w:name w:val="Number in 1"/>
    <w:basedOn w:val="Normal"/>
    <w:link w:val="Numberin1Char"/>
    <w:rsid w:val="00C62A57"/>
    <w:pPr>
      <w:widowControl w:val="0"/>
      <w:numPr>
        <w:numId w:val="3"/>
      </w:numPr>
      <w:spacing w:before="240" w:after="120"/>
    </w:pPr>
    <w:rPr>
      <w:rFonts w:eastAsia="Times New Roman" w:cs="Times New Roman"/>
      <w:szCs w:val="20"/>
      <w:lang w:val="en-GB" w:eastAsia="en-GB"/>
    </w:rPr>
  </w:style>
  <w:style w:type="paragraph" w:customStyle="1" w:styleId="Numberin2">
    <w:name w:val="Number in 2"/>
    <w:basedOn w:val="Normal"/>
    <w:rsid w:val="00C62A57"/>
    <w:pPr>
      <w:widowControl w:val="0"/>
      <w:numPr>
        <w:ilvl w:val="1"/>
        <w:numId w:val="3"/>
      </w:numPr>
      <w:spacing w:before="240" w:after="120"/>
    </w:pPr>
    <w:rPr>
      <w:rFonts w:eastAsia="Times New Roman" w:cs="Times New Roman"/>
      <w:szCs w:val="20"/>
      <w:lang w:val="en-GB" w:eastAsia="en-GB"/>
    </w:rPr>
  </w:style>
  <w:style w:type="paragraph" w:customStyle="1" w:styleId="Numberin3">
    <w:name w:val="Number in 3"/>
    <w:basedOn w:val="Normal"/>
    <w:rsid w:val="00C62A57"/>
    <w:pPr>
      <w:widowControl w:val="0"/>
      <w:numPr>
        <w:ilvl w:val="2"/>
        <w:numId w:val="3"/>
      </w:numPr>
      <w:spacing w:before="240" w:after="120"/>
    </w:pPr>
    <w:rPr>
      <w:rFonts w:eastAsia="Times New Roman" w:cs="Times New Roman"/>
      <w:szCs w:val="20"/>
      <w:lang w:val="en-GB" w:eastAsia="en-GB"/>
    </w:rPr>
  </w:style>
  <w:style w:type="paragraph" w:customStyle="1" w:styleId="Numberin4">
    <w:name w:val="Number in 4"/>
    <w:basedOn w:val="Normal"/>
    <w:rsid w:val="00C62A57"/>
    <w:pPr>
      <w:widowControl w:val="0"/>
      <w:numPr>
        <w:ilvl w:val="3"/>
        <w:numId w:val="3"/>
      </w:numPr>
      <w:spacing w:before="240" w:after="120"/>
    </w:pPr>
    <w:rPr>
      <w:rFonts w:eastAsia="Times New Roman" w:cs="Times New Roman"/>
      <w:szCs w:val="20"/>
      <w:lang w:val="en-GB" w:eastAsia="en-GB"/>
    </w:rPr>
  </w:style>
  <w:style w:type="paragraph" w:customStyle="1" w:styleId="Numberin5">
    <w:name w:val="Number in 5"/>
    <w:basedOn w:val="Normal"/>
    <w:rsid w:val="00C62A57"/>
    <w:pPr>
      <w:widowControl w:val="0"/>
      <w:numPr>
        <w:ilvl w:val="4"/>
        <w:numId w:val="3"/>
      </w:numPr>
      <w:tabs>
        <w:tab w:val="left" w:pos="4860"/>
      </w:tabs>
      <w:spacing w:after="0"/>
    </w:pPr>
    <w:rPr>
      <w:rFonts w:eastAsia="Times New Roman" w:cs="Times New Roman"/>
      <w:szCs w:val="20"/>
      <w:lang w:val="en-GB" w:eastAsia="en-GB"/>
    </w:rPr>
  </w:style>
  <w:style w:type="paragraph" w:customStyle="1" w:styleId="Numberin6">
    <w:name w:val="Number in 6"/>
    <w:basedOn w:val="Normal"/>
    <w:rsid w:val="00C62A57"/>
    <w:pPr>
      <w:widowControl w:val="0"/>
      <w:numPr>
        <w:ilvl w:val="5"/>
        <w:numId w:val="3"/>
      </w:numPr>
      <w:tabs>
        <w:tab w:val="left" w:pos="5580"/>
      </w:tabs>
      <w:spacing w:after="0"/>
    </w:pPr>
    <w:rPr>
      <w:rFonts w:eastAsia="Times New Roman" w:cs="Times New Roman"/>
      <w:szCs w:val="20"/>
      <w:lang w:val="en-GB" w:eastAsia="en-GB"/>
    </w:rPr>
  </w:style>
  <w:style w:type="paragraph" w:customStyle="1" w:styleId="Numberin7">
    <w:name w:val="Number in 7"/>
    <w:basedOn w:val="Normal"/>
    <w:rsid w:val="00C62A57"/>
    <w:pPr>
      <w:widowControl w:val="0"/>
      <w:numPr>
        <w:ilvl w:val="6"/>
        <w:numId w:val="3"/>
      </w:numPr>
      <w:spacing w:after="0"/>
    </w:pPr>
    <w:rPr>
      <w:rFonts w:eastAsia="Times New Roman" w:cs="Times New Roman"/>
      <w:szCs w:val="20"/>
      <w:lang w:val="en-GB" w:eastAsia="en-GB"/>
    </w:rPr>
  </w:style>
  <w:style w:type="paragraph" w:customStyle="1" w:styleId="Numberin8">
    <w:name w:val="Number in 8"/>
    <w:basedOn w:val="Normal"/>
    <w:rsid w:val="00C62A57"/>
    <w:pPr>
      <w:widowControl w:val="0"/>
      <w:numPr>
        <w:ilvl w:val="7"/>
        <w:numId w:val="3"/>
      </w:numPr>
      <w:tabs>
        <w:tab w:val="left" w:pos="7200"/>
      </w:tabs>
      <w:spacing w:after="0"/>
    </w:pPr>
    <w:rPr>
      <w:rFonts w:eastAsia="Times New Roman" w:cs="Times New Roman"/>
      <w:szCs w:val="20"/>
      <w:lang w:val="en-GB" w:eastAsia="en-GB"/>
    </w:rPr>
  </w:style>
  <w:style w:type="paragraph" w:customStyle="1" w:styleId="Numberin9">
    <w:name w:val="Number in 9"/>
    <w:basedOn w:val="Normal"/>
    <w:rsid w:val="00C62A57"/>
    <w:pPr>
      <w:widowControl w:val="0"/>
      <w:numPr>
        <w:ilvl w:val="8"/>
        <w:numId w:val="3"/>
      </w:numPr>
      <w:spacing w:after="0"/>
    </w:pPr>
    <w:rPr>
      <w:rFonts w:eastAsia="Times New Roman" w:cs="Times New Roman"/>
      <w:szCs w:val="20"/>
      <w:lang w:val="en-GB" w:eastAsia="en-GB"/>
    </w:rPr>
  </w:style>
  <w:style w:type="character" w:customStyle="1" w:styleId="Numberin1Char">
    <w:name w:val="Number in 1 Char"/>
    <w:link w:val="Numberin1"/>
    <w:rsid w:val="00C62A57"/>
    <w:rPr>
      <w:rFonts w:ascii="Arial" w:eastAsia="Times New Roman" w:hAnsi="Arial" w:cs="Times New Roman"/>
      <w:sz w:val="24"/>
      <w:szCs w:val="20"/>
      <w:lang w:val="en-GB" w:eastAsia="en-GB"/>
    </w:rPr>
  </w:style>
  <w:style w:type="paragraph" w:styleId="List">
    <w:name w:val="List"/>
    <w:basedOn w:val="Normal"/>
    <w:uiPriority w:val="99"/>
    <w:unhideWhenUsed/>
    <w:rsid w:val="00C62A57"/>
    <w:pPr>
      <w:numPr>
        <w:numId w:val="4"/>
      </w:numPr>
      <w:spacing w:before="240" w:after="240"/>
    </w:pPr>
    <w:rPr>
      <w:rFonts w:cs="Arial"/>
      <w:szCs w:val="24"/>
      <w:lang w:val="en-GB"/>
    </w:rPr>
  </w:style>
  <w:style w:type="paragraph" w:styleId="BalloonText">
    <w:name w:val="Balloon Text"/>
    <w:basedOn w:val="Normal"/>
    <w:link w:val="BalloonTextChar"/>
    <w:uiPriority w:val="99"/>
    <w:semiHidden/>
    <w:unhideWhenUsed/>
    <w:rsid w:val="00C23FE7"/>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C23FE7"/>
    <w:rPr>
      <w:rFonts w:ascii="Times New Roman" w:hAnsi="Times New Roman" w:cs="Times New Roman"/>
      <w:sz w:val="18"/>
      <w:szCs w:val="18"/>
    </w:rPr>
  </w:style>
  <w:style w:type="table" w:styleId="TableGrid">
    <w:name w:val="Table Grid"/>
    <w:basedOn w:val="TableNormal"/>
    <w:uiPriority w:val="39"/>
    <w:rsid w:val="006B57AF"/>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style>
  <w:style w:type="paragraph" w:customStyle="1" w:styleId="Tramlines">
    <w:name w:val="Tramlines"/>
    <w:basedOn w:val="Normal"/>
    <w:next w:val="Normal"/>
    <w:qFormat/>
    <w:rsid w:val="006B57AF"/>
    <w:pPr>
      <w:pBdr>
        <w:top w:val="single" w:sz="4" w:space="20" w:color="auto"/>
        <w:bottom w:val="single" w:sz="4" w:space="20" w:color="auto"/>
      </w:pBdr>
      <w:spacing w:after="0" w:line="240" w:lineRule="auto"/>
      <w:jc w:val="center"/>
    </w:pPr>
    <w:rPr>
      <w:b/>
      <w:caps/>
      <w:szCs w:val="24"/>
      <w:lang w:val="en-GB"/>
    </w:rPr>
  </w:style>
  <w:style w:type="character" w:styleId="PageNumber">
    <w:name w:val="page number"/>
    <w:basedOn w:val="DefaultParagraphFont"/>
    <w:uiPriority w:val="99"/>
    <w:semiHidden/>
    <w:unhideWhenUsed/>
    <w:rsid w:val="005A2C17"/>
  </w:style>
  <w:style w:type="paragraph" w:customStyle="1" w:styleId="1">
    <w:name w:val="1"/>
    <w:basedOn w:val="Normal"/>
    <w:link w:val="1Char"/>
    <w:rsid w:val="00541732"/>
    <w:pPr>
      <w:numPr>
        <w:numId w:val="6"/>
      </w:numPr>
      <w:spacing w:before="480" w:after="0"/>
    </w:pPr>
    <w:rPr>
      <w:rFonts w:eastAsia="Times New Roman" w:cs="Times New Roman"/>
      <w:iCs/>
      <w:color w:val="000000"/>
      <w:lang w:val="en-GB"/>
    </w:rPr>
  </w:style>
  <w:style w:type="character" w:customStyle="1" w:styleId="1Char">
    <w:name w:val="1 Char"/>
    <w:link w:val="1"/>
    <w:rsid w:val="00541732"/>
    <w:rPr>
      <w:rFonts w:ascii="Arial" w:eastAsia="Times New Roman" w:hAnsi="Arial" w:cs="Times New Roman"/>
      <w:iCs/>
      <w:color w:val="000000"/>
      <w:sz w:val="24"/>
      <w:lang w:val="en-GB"/>
    </w:rPr>
  </w:style>
  <w:style w:type="paragraph" w:customStyle="1" w:styleId="2">
    <w:name w:val="2"/>
    <w:basedOn w:val="1"/>
    <w:rsid w:val="00541732"/>
    <w:pPr>
      <w:numPr>
        <w:ilvl w:val="1"/>
      </w:numPr>
      <w:tabs>
        <w:tab w:val="clear" w:pos="1361"/>
      </w:tabs>
      <w:spacing w:before="240"/>
      <w:ind w:left="1440" w:hanging="720"/>
    </w:pPr>
  </w:style>
  <w:style w:type="paragraph" w:customStyle="1" w:styleId="3">
    <w:name w:val="3"/>
    <w:basedOn w:val="2"/>
    <w:rsid w:val="00541732"/>
    <w:pPr>
      <w:numPr>
        <w:ilvl w:val="2"/>
      </w:numPr>
      <w:tabs>
        <w:tab w:val="clear" w:pos="2155"/>
      </w:tabs>
      <w:ind w:left="2304" w:hanging="864"/>
    </w:pPr>
  </w:style>
  <w:style w:type="paragraph" w:customStyle="1" w:styleId="4">
    <w:name w:val="4"/>
    <w:basedOn w:val="2"/>
    <w:rsid w:val="00541732"/>
    <w:pPr>
      <w:numPr>
        <w:ilvl w:val="3"/>
      </w:numPr>
      <w:tabs>
        <w:tab w:val="clear" w:pos="2552"/>
        <w:tab w:val="num" w:pos="360"/>
      </w:tabs>
      <w:ind w:left="1728" w:hanging="648"/>
    </w:pPr>
    <w:rPr>
      <w:iCs w:val="0"/>
    </w:rPr>
  </w:style>
  <w:style w:type="paragraph" w:customStyle="1" w:styleId="5">
    <w:name w:val="5"/>
    <w:basedOn w:val="4"/>
    <w:rsid w:val="00541732"/>
    <w:pPr>
      <w:numPr>
        <w:ilvl w:val="4"/>
      </w:numPr>
      <w:tabs>
        <w:tab w:val="clear" w:pos="3119"/>
        <w:tab w:val="num" w:pos="360"/>
      </w:tabs>
      <w:ind w:left="2232" w:hanging="792"/>
    </w:pPr>
    <w:rPr>
      <w:iCs/>
      <w:szCs w:val="16"/>
      <w:lang w:eastAsia="en-ZA"/>
    </w:rPr>
  </w:style>
  <w:style w:type="paragraph" w:styleId="IntenseQuote">
    <w:name w:val="Intense Quote"/>
    <w:basedOn w:val="Normal"/>
    <w:next w:val="Normal"/>
    <w:link w:val="IntenseQuoteChar"/>
    <w:uiPriority w:val="30"/>
    <w:qFormat/>
    <w:rsid w:val="006774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7743C"/>
    <w:rPr>
      <w:rFonts w:ascii="Times New Roman" w:hAnsi="Times New Roman"/>
      <w:i/>
      <w:iCs/>
      <w:color w:val="5B9BD5" w:themeColor="accent1"/>
      <w:sz w:val="24"/>
    </w:rPr>
  </w:style>
  <w:style w:type="character" w:styleId="CommentReference">
    <w:name w:val="annotation reference"/>
    <w:basedOn w:val="DefaultParagraphFont"/>
    <w:uiPriority w:val="99"/>
    <w:semiHidden/>
    <w:unhideWhenUsed/>
    <w:rsid w:val="0082017D"/>
    <w:rPr>
      <w:sz w:val="16"/>
      <w:szCs w:val="16"/>
    </w:rPr>
  </w:style>
  <w:style w:type="paragraph" w:styleId="CommentText">
    <w:name w:val="annotation text"/>
    <w:basedOn w:val="Normal"/>
    <w:link w:val="CommentTextChar"/>
    <w:uiPriority w:val="99"/>
    <w:semiHidden/>
    <w:unhideWhenUsed/>
    <w:rsid w:val="0082017D"/>
    <w:pPr>
      <w:spacing w:line="240" w:lineRule="auto"/>
    </w:pPr>
    <w:rPr>
      <w:sz w:val="20"/>
      <w:szCs w:val="20"/>
    </w:rPr>
  </w:style>
  <w:style w:type="character" w:customStyle="1" w:styleId="CommentTextChar">
    <w:name w:val="Comment Text Char"/>
    <w:basedOn w:val="DefaultParagraphFont"/>
    <w:link w:val="CommentText"/>
    <w:uiPriority w:val="99"/>
    <w:semiHidden/>
    <w:rsid w:val="0082017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2017D"/>
    <w:rPr>
      <w:b/>
      <w:bCs/>
    </w:rPr>
  </w:style>
  <w:style w:type="character" w:customStyle="1" w:styleId="CommentSubjectChar">
    <w:name w:val="Comment Subject Char"/>
    <w:basedOn w:val="CommentTextChar"/>
    <w:link w:val="CommentSubject"/>
    <w:uiPriority w:val="99"/>
    <w:semiHidden/>
    <w:rsid w:val="0082017D"/>
    <w:rPr>
      <w:rFonts w:ascii="Times New Roman" w:hAnsi="Times New Roman"/>
      <w:b/>
      <w:bCs/>
      <w:sz w:val="20"/>
      <w:szCs w:val="20"/>
    </w:rPr>
  </w:style>
  <w:style w:type="paragraph" w:styleId="Revision">
    <w:name w:val="Revision"/>
    <w:hidden/>
    <w:uiPriority w:val="99"/>
    <w:semiHidden/>
    <w:rsid w:val="00A9638E"/>
    <w:pPr>
      <w:spacing w:after="0" w:line="240" w:lineRule="auto"/>
    </w:pPr>
    <w:rPr>
      <w:rFonts w:ascii="Times New Roman" w:hAnsi="Times New Roman"/>
      <w:sz w:val="24"/>
    </w:rPr>
  </w:style>
  <w:style w:type="character" w:customStyle="1" w:styleId="apple-converted-space">
    <w:name w:val="apple-converted-space"/>
    <w:basedOn w:val="DefaultParagraphFont"/>
    <w:rsid w:val="001D0EA0"/>
  </w:style>
  <w:style w:type="character" w:customStyle="1" w:styleId="mc">
    <w:name w:val="mc"/>
    <w:basedOn w:val="DefaultParagraphFont"/>
    <w:rsid w:val="001D0EA0"/>
  </w:style>
  <w:style w:type="character" w:customStyle="1" w:styleId="g1">
    <w:name w:val="g1"/>
    <w:basedOn w:val="DefaultParagraphFont"/>
    <w:rsid w:val="00556F0C"/>
  </w:style>
  <w:style w:type="character" w:styleId="Hyperlink">
    <w:name w:val="Hyperlink"/>
    <w:basedOn w:val="DefaultParagraphFont"/>
    <w:uiPriority w:val="99"/>
    <w:unhideWhenUsed/>
    <w:rsid w:val="00556F0C"/>
    <w:rPr>
      <w:color w:val="0000FF"/>
      <w:u w:val="single"/>
    </w:rPr>
  </w:style>
  <w:style w:type="character" w:customStyle="1" w:styleId="UnresolvedMention">
    <w:name w:val="Unresolved Mention"/>
    <w:basedOn w:val="DefaultParagraphFont"/>
    <w:uiPriority w:val="99"/>
    <w:semiHidden/>
    <w:unhideWhenUsed/>
    <w:rsid w:val="008A1B96"/>
    <w:rPr>
      <w:color w:val="605E5C"/>
      <w:shd w:val="clear" w:color="auto" w:fill="E1DFDD"/>
    </w:rPr>
  </w:style>
  <w:style w:type="paragraph" w:styleId="TOCHeading">
    <w:name w:val="TOC Heading"/>
    <w:basedOn w:val="Heading1"/>
    <w:next w:val="Normal"/>
    <w:uiPriority w:val="39"/>
    <w:unhideWhenUsed/>
    <w:qFormat/>
    <w:rsid w:val="00206C63"/>
    <w:pPr>
      <w:spacing w:after="0" w:line="259" w:lineRule="auto"/>
      <w:jc w:val="left"/>
      <w:outlineLvl w:val="9"/>
    </w:pPr>
    <w:rPr>
      <w:rFonts w:asciiTheme="majorHAnsi" w:hAnsiTheme="majorHAnsi" w:cstheme="majorBidi"/>
      <w:b w:val="0"/>
      <w:caps w:val="0"/>
      <w:color w:val="2E74B5" w:themeColor="accent1" w:themeShade="BF"/>
      <w:sz w:val="32"/>
      <w:lang w:val="en-US"/>
    </w:rPr>
  </w:style>
  <w:style w:type="paragraph" w:styleId="TOC1">
    <w:name w:val="toc 1"/>
    <w:basedOn w:val="Normal"/>
    <w:next w:val="Normal"/>
    <w:autoRedefine/>
    <w:uiPriority w:val="39"/>
    <w:unhideWhenUsed/>
    <w:rsid w:val="00206C6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0700">
      <w:bodyDiv w:val="1"/>
      <w:marLeft w:val="0"/>
      <w:marRight w:val="0"/>
      <w:marTop w:val="0"/>
      <w:marBottom w:val="0"/>
      <w:divBdr>
        <w:top w:val="none" w:sz="0" w:space="0" w:color="auto"/>
        <w:left w:val="none" w:sz="0" w:space="0" w:color="auto"/>
        <w:bottom w:val="none" w:sz="0" w:space="0" w:color="auto"/>
        <w:right w:val="none" w:sz="0" w:space="0" w:color="auto"/>
      </w:divBdr>
    </w:div>
    <w:div w:id="130176204">
      <w:bodyDiv w:val="1"/>
      <w:marLeft w:val="0"/>
      <w:marRight w:val="0"/>
      <w:marTop w:val="0"/>
      <w:marBottom w:val="0"/>
      <w:divBdr>
        <w:top w:val="none" w:sz="0" w:space="0" w:color="auto"/>
        <w:left w:val="none" w:sz="0" w:space="0" w:color="auto"/>
        <w:bottom w:val="none" w:sz="0" w:space="0" w:color="auto"/>
        <w:right w:val="none" w:sz="0" w:space="0" w:color="auto"/>
      </w:divBdr>
    </w:div>
    <w:div w:id="160632436">
      <w:bodyDiv w:val="1"/>
      <w:marLeft w:val="0"/>
      <w:marRight w:val="0"/>
      <w:marTop w:val="0"/>
      <w:marBottom w:val="0"/>
      <w:divBdr>
        <w:top w:val="none" w:sz="0" w:space="0" w:color="auto"/>
        <w:left w:val="none" w:sz="0" w:space="0" w:color="auto"/>
        <w:bottom w:val="none" w:sz="0" w:space="0" w:color="auto"/>
        <w:right w:val="none" w:sz="0" w:space="0" w:color="auto"/>
      </w:divBdr>
    </w:div>
    <w:div w:id="165367463">
      <w:bodyDiv w:val="1"/>
      <w:marLeft w:val="0"/>
      <w:marRight w:val="0"/>
      <w:marTop w:val="0"/>
      <w:marBottom w:val="0"/>
      <w:divBdr>
        <w:top w:val="none" w:sz="0" w:space="0" w:color="auto"/>
        <w:left w:val="none" w:sz="0" w:space="0" w:color="auto"/>
        <w:bottom w:val="none" w:sz="0" w:space="0" w:color="auto"/>
        <w:right w:val="none" w:sz="0" w:space="0" w:color="auto"/>
      </w:divBdr>
    </w:div>
    <w:div w:id="209853084">
      <w:bodyDiv w:val="1"/>
      <w:marLeft w:val="0"/>
      <w:marRight w:val="0"/>
      <w:marTop w:val="0"/>
      <w:marBottom w:val="0"/>
      <w:divBdr>
        <w:top w:val="none" w:sz="0" w:space="0" w:color="auto"/>
        <w:left w:val="none" w:sz="0" w:space="0" w:color="auto"/>
        <w:bottom w:val="none" w:sz="0" w:space="0" w:color="auto"/>
        <w:right w:val="none" w:sz="0" w:space="0" w:color="auto"/>
      </w:divBdr>
    </w:div>
    <w:div w:id="249580249">
      <w:bodyDiv w:val="1"/>
      <w:marLeft w:val="0"/>
      <w:marRight w:val="0"/>
      <w:marTop w:val="0"/>
      <w:marBottom w:val="0"/>
      <w:divBdr>
        <w:top w:val="none" w:sz="0" w:space="0" w:color="auto"/>
        <w:left w:val="none" w:sz="0" w:space="0" w:color="auto"/>
        <w:bottom w:val="none" w:sz="0" w:space="0" w:color="auto"/>
        <w:right w:val="none" w:sz="0" w:space="0" w:color="auto"/>
      </w:divBdr>
    </w:div>
    <w:div w:id="282733640">
      <w:bodyDiv w:val="1"/>
      <w:marLeft w:val="0"/>
      <w:marRight w:val="0"/>
      <w:marTop w:val="0"/>
      <w:marBottom w:val="0"/>
      <w:divBdr>
        <w:top w:val="none" w:sz="0" w:space="0" w:color="auto"/>
        <w:left w:val="none" w:sz="0" w:space="0" w:color="auto"/>
        <w:bottom w:val="none" w:sz="0" w:space="0" w:color="auto"/>
        <w:right w:val="none" w:sz="0" w:space="0" w:color="auto"/>
      </w:divBdr>
    </w:div>
    <w:div w:id="421267893">
      <w:bodyDiv w:val="1"/>
      <w:marLeft w:val="0"/>
      <w:marRight w:val="0"/>
      <w:marTop w:val="0"/>
      <w:marBottom w:val="0"/>
      <w:divBdr>
        <w:top w:val="none" w:sz="0" w:space="0" w:color="auto"/>
        <w:left w:val="none" w:sz="0" w:space="0" w:color="auto"/>
        <w:bottom w:val="none" w:sz="0" w:space="0" w:color="auto"/>
        <w:right w:val="none" w:sz="0" w:space="0" w:color="auto"/>
      </w:divBdr>
    </w:div>
    <w:div w:id="539442368">
      <w:bodyDiv w:val="1"/>
      <w:marLeft w:val="0"/>
      <w:marRight w:val="0"/>
      <w:marTop w:val="0"/>
      <w:marBottom w:val="0"/>
      <w:divBdr>
        <w:top w:val="none" w:sz="0" w:space="0" w:color="auto"/>
        <w:left w:val="none" w:sz="0" w:space="0" w:color="auto"/>
        <w:bottom w:val="none" w:sz="0" w:space="0" w:color="auto"/>
        <w:right w:val="none" w:sz="0" w:space="0" w:color="auto"/>
      </w:divBdr>
    </w:div>
    <w:div w:id="588006636">
      <w:bodyDiv w:val="1"/>
      <w:marLeft w:val="0"/>
      <w:marRight w:val="0"/>
      <w:marTop w:val="0"/>
      <w:marBottom w:val="0"/>
      <w:divBdr>
        <w:top w:val="none" w:sz="0" w:space="0" w:color="auto"/>
        <w:left w:val="none" w:sz="0" w:space="0" w:color="auto"/>
        <w:bottom w:val="none" w:sz="0" w:space="0" w:color="auto"/>
        <w:right w:val="none" w:sz="0" w:space="0" w:color="auto"/>
      </w:divBdr>
      <w:divsChild>
        <w:div w:id="2110927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46494">
              <w:marLeft w:val="0"/>
              <w:marRight w:val="0"/>
              <w:marTop w:val="0"/>
              <w:marBottom w:val="0"/>
              <w:divBdr>
                <w:top w:val="none" w:sz="0" w:space="0" w:color="auto"/>
                <w:left w:val="none" w:sz="0" w:space="0" w:color="auto"/>
                <w:bottom w:val="none" w:sz="0" w:space="0" w:color="auto"/>
                <w:right w:val="none" w:sz="0" w:space="0" w:color="auto"/>
              </w:divBdr>
              <w:divsChild>
                <w:div w:id="952905124">
                  <w:marLeft w:val="0"/>
                  <w:marRight w:val="0"/>
                  <w:marTop w:val="0"/>
                  <w:marBottom w:val="0"/>
                  <w:divBdr>
                    <w:top w:val="none" w:sz="0" w:space="0" w:color="auto"/>
                    <w:left w:val="none" w:sz="0" w:space="0" w:color="auto"/>
                    <w:bottom w:val="none" w:sz="0" w:space="0" w:color="auto"/>
                    <w:right w:val="none" w:sz="0" w:space="0" w:color="auto"/>
                  </w:divBdr>
                  <w:divsChild>
                    <w:div w:id="270086119">
                      <w:marLeft w:val="0"/>
                      <w:marRight w:val="0"/>
                      <w:marTop w:val="0"/>
                      <w:marBottom w:val="0"/>
                      <w:divBdr>
                        <w:top w:val="none" w:sz="0" w:space="0" w:color="auto"/>
                        <w:left w:val="none" w:sz="0" w:space="0" w:color="auto"/>
                        <w:bottom w:val="none" w:sz="0" w:space="0" w:color="auto"/>
                        <w:right w:val="none" w:sz="0" w:space="0" w:color="auto"/>
                      </w:divBdr>
                      <w:divsChild>
                        <w:div w:id="159332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808755">
      <w:bodyDiv w:val="1"/>
      <w:marLeft w:val="0"/>
      <w:marRight w:val="0"/>
      <w:marTop w:val="0"/>
      <w:marBottom w:val="0"/>
      <w:divBdr>
        <w:top w:val="none" w:sz="0" w:space="0" w:color="auto"/>
        <w:left w:val="none" w:sz="0" w:space="0" w:color="auto"/>
        <w:bottom w:val="none" w:sz="0" w:space="0" w:color="auto"/>
        <w:right w:val="none" w:sz="0" w:space="0" w:color="auto"/>
      </w:divBdr>
      <w:divsChild>
        <w:div w:id="20500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2948">
              <w:marLeft w:val="0"/>
              <w:marRight w:val="0"/>
              <w:marTop w:val="0"/>
              <w:marBottom w:val="0"/>
              <w:divBdr>
                <w:top w:val="none" w:sz="0" w:space="0" w:color="auto"/>
                <w:left w:val="none" w:sz="0" w:space="0" w:color="auto"/>
                <w:bottom w:val="none" w:sz="0" w:space="0" w:color="auto"/>
                <w:right w:val="none" w:sz="0" w:space="0" w:color="auto"/>
              </w:divBdr>
              <w:divsChild>
                <w:div w:id="1504973551">
                  <w:marLeft w:val="0"/>
                  <w:marRight w:val="0"/>
                  <w:marTop w:val="0"/>
                  <w:marBottom w:val="0"/>
                  <w:divBdr>
                    <w:top w:val="none" w:sz="0" w:space="0" w:color="auto"/>
                    <w:left w:val="none" w:sz="0" w:space="0" w:color="auto"/>
                    <w:bottom w:val="none" w:sz="0" w:space="0" w:color="auto"/>
                    <w:right w:val="none" w:sz="0" w:space="0" w:color="auto"/>
                  </w:divBdr>
                  <w:divsChild>
                    <w:div w:id="348333918">
                      <w:marLeft w:val="0"/>
                      <w:marRight w:val="0"/>
                      <w:marTop w:val="0"/>
                      <w:marBottom w:val="0"/>
                      <w:divBdr>
                        <w:top w:val="none" w:sz="0" w:space="0" w:color="auto"/>
                        <w:left w:val="none" w:sz="0" w:space="0" w:color="auto"/>
                        <w:bottom w:val="none" w:sz="0" w:space="0" w:color="auto"/>
                        <w:right w:val="none" w:sz="0" w:space="0" w:color="auto"/>
                      </w:divBdr>
                      <w:divsChild>
                        <w:div w:id="1169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176114">
      <w:bodyDiv w:val="1"/>
      <w:marLeft w:val="0"/>
      <w:marRight w:val="0"/>
      <w:marTop w:val="0"/>
      <w:marBottom w:val="0"/>
      <w:divBdr>
        <w:top w:val="none" w:sz="0" w:space="0" w:color="auto"/>
        <w:left w:val="none" w:sz="0" w:space="0" w:color="auto"/>
        <w:bottom w:val="none" w:sz="0" w:space="0" w:color="auto"/>
        <w:right w:val="none" w:sz="0" w:space="0" w:color="auto"/>
      </w:divBdr>
    </w:div>
    <w:div w:id="679357587">
      <w:bodyDiv w:val="1"/>
      <w:marLeft w:val="0"/>
      <w:marRight w:val="0"/>
      <w:marTop w:val="0"/>
      <w:marBottom w:val="0"/>
      <w:divBdr>
        <w:top w:val="none" w:sz="0" w:space="0" w:color="auto"/>
        <w:left w:val="none" w:sz="0" w:space="0" w:color="auto"/>
        <w:bottom w:val="none" w:sz="0" w:space="0" w:color="auto"/>
        <w:right w:val="none" w:sz="0" w:space="0" w:color="auto"/>
      </w:divBdr>
    </w:div>
    <w:div w:id="683214836">
      <w:bodyDiv w:val="1"/>
      <w:marLeft w:val="0"/>
      <w:marRight w:val="0"/>
      <w:marTop w:val="0"/>
      <w:marBottom w:val="0"/>
      <w:divBdr>
        <w:top w:val="none" w:sz="0" w:space="0" w:color="auto"/>
        <w:left w:val="none" w:sz="0" w:space="0" w:color="auto"/>
        <w:bottom w:val="none" w:sz="0" w:space="0" w:color="auto"/>
        <w:right w:val="none" w:sz="0" w:space="0" w:color="auto"/>
      </w:divBdr>
    </w:div>
    <w:div w:id="698706998">
      <w:bodyDiv w:val="1"/>
      <w:marLeft w:val="0"/>
      <w:marRight w:val="0"/>
      <w:marTop w:val="0"/>
      <w:marBottom w:val="0"/>
      <w:divBdr>
        <w:top w:val="none" w:sz="0" w:space="0" w:color="auto"/>
        <w:left w:val="none" w:sz="0" w:space="0" w:color="auto"/>
        <w:bottom w:val="none" w:sz="0" w:space="0" w:color="auto"/>
        <w:right w:val="none" w:sz="0" w:space="0" w:color="auto"/>
      </w:divBdr>
    </w:div>
    <w:div w:id="725102889">
      <w:bodyDiv w:val="1"/>
      <w:marLeft w:val="0"/>
      <w:marRight w:val="0"/>
      <w:marTop w:val="0"/>
      <w:marBottom w:val="0"/>
      <w:divBdr>
        <w:top w:val="none" w:sz="0" w:space="0" w:color="auto"/>
        <w:left w:val="none" w:sz="0" w:space="0" w:color="auto"/>
        <w:bottom w:val="none" w:sz="0" w:space="0" w:color="auto"/>
        <w:right w:val="none" w:sz="0" w:space="0" w:color="auto"/>
      </w:divBdr>
    </w:div>
    <w:div w:id="729158868">
      <w:bodyDiv w:val="1"/>
      <w:marLeft w:val="0"/>
      <w:marRight w:val="0"/>
      <w:marTop w:val="0"/>
      <w:marBottom w:val="0"/>
      <w:divBdr>
        <w:top w:val="none" w:sz="0" w:space="0" w:color="auto"/>
        <w:left w:val="none" w:sz="0" w:space="0" w:color="auto"/>
        <w:bottom w:val="none" w:sz="0" w:space="0" w:color="auto"/>
        <w:right w:val="none" w:sz="0" w:space="0" w:color="auto"/>
      </w:divBdr>
    </w:div>
    <w:div w:id="759330593">
      <w:bodyDiv w:val="1"/>
      <w:marLeft w:val="0"/>
      <w:marRight w:val="0"/>
      <w:marTop w:val="0"/>
      <w:marBottom w:val="0"/>
      <w:divBdr>
        <w:top w:val="none" w:sz="0" w:space="0" w:color="auto"/>
        <w:left w:val="none" w:sz="0" w:space="0" w:color="auto"/>
        <w:bottom w:val="none" w:sz="0" w:space="0" w:color="auto"/>
        <w:right w:val="none" w:sz="0" w:space="0" w:color="auto"/>
      </w:divBdr>
    </w:div>
    <w:div w:id="789859926">
      <w:bodyDiv w:val="1"/>
      <w:marLeft w:val="0"/>
      <w:marRight w:val="0"/>
      <w:marTop w:val="0"/>
      <w:marBottom w:val="0"/>
      <w:divBdr>
        <w:top w:val="none" w:sz="0" w:space="0" w:color="auto"/>
        <w:left w:val="none" w:sz="0" w:space="0" w:color="auto"/>
        <w:bottom w:val="none" w:sz="0" w:space="0" w:color="auto"/>
        <w:right w:val="none" w:sz="0" w:space="0" w:color="auto"/>
      </w:divBdr>
      <w:divsChild>
        <w:div w:id="1157064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265163">
              <w:marLeft w:val="0"/>
              <w:marRight w:val="0"/>
              <w:marTop w:val="0"/>
              <w:marBottom w:val="0"/>
              <w:divBdr>
                <w:top w:val="none" w:sz="0" w:space="0" w:color="auto"/>
                <w:left w:val="none" w:sz="0" w:space="0" w:color="auto"/>
                <w:bottom w:val="none" w:sz="0" w:space="0" w:color="auto"/>
                <w:right w:val="none" w:sz="0" w:space="0" w:color="auto"/>
              </w:divBdr>
              <w:divsChild>
                <w:div w:id="1608350298">
                  <w:marLeft w:val="0"/>
                  <w:marRight w:val="0"/>
                  <w:marTop w:val="0"/>
                  <w:marBottom w:val="0"/>
                  <w:divBdr>
                    <w:top w:val="none" w:sz="0" w:space="0" w:color="auto"/>
                    <w:left w:val="none" w:sz="0" w:space="0" w:color="auto"/>
                    <w:bottom w:val="none" w:sz="0" w:space="0" w:color="auto"/>
                    <w:right w:val="none" w:sz="0" w:space="0" w:color="auto"/>
                  </w:divBdr>
                  <w:divsChild>
                    <w:div w:id="2134128373">
                      <w:marLeft w:val="0"/>
                      <w:marRight w:val="0"/>
                      <w:marTop w:val="0"/>
                      <w:marBottom w:val="0"/>
                      <w:divBdr>
                        <w:top w:val="none" w:sz="0" w:space="0" w:color="auto"/>
                        <w:left w:val="none" w:sz="0" w:space="0" w:color="auto"/>
                        <w:bottom w:val="none" w:sz="0" w:space="0" w:color="auto"/>
                        <w:right w:val="none" w:sz="0" w:space="0" w:color="auto"/>
                      </w:divBdr>
                      <w:divsChild>
                        <w:div w:id="9020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395962">
      <w:bodyDiv w:val="1"/>
      <w:marLeft w:val="0"/>
      <w:marRight w:val="0"/>
      <w:marTop w:val="0"/>
      <w:marBottom w:val="0"/>
      <w:divBdr>
        <w:top w:val="none" w:sz="0" w:space="0" w:color="auto"/>
        <w:left w:val="none" w:sz="0" w:space="0" w:color="auto"/>
        <w:bottom w:val="none" w:sz="0" w:space="0" w:color="auto"/>
        <w:right w:val="none" w:sz="0" w:space="0" w:color="auto"/>
      </w:divBdr>
    </w:div>
    <w:div w:id="809908922">
      <w:bodyDiv w:val="1"/>
      <w:marLeft w:val="0"/>
      <w:marRight w:val="0"/>
      <w:marTop w:val="0"/>
      <w:marBottom w:val="0"/>
      <w:divBdr>
        <w:top w:val="none" w:sz="0" w:space="0" w:color="auto"/>
        <w:left w:val="none" w:sz="0" w:space="0" w:color="auto"/>
        <w:bottom w:val="none" w:sz="0" w:space="0" w:color="auto"/>
        <w:right w:val="none" w:sz="0" w:space="0" w:color="auto"/>
      </w:divBdr>
    </w:div>
    <w:div w:id="865823796">
      <w:bodyDiv w:val="1"/>
      <w:marLeft w:val="0"/>
      <w:marRight w:val="0"/>
      <w:marTop w:val="0"/>
      <w:marBottom w:val="0"/>
      <w:divBdr>
        <w:top w:val="none" w:sz="0" w:space="0" w:color="auto"/>
        <w:left w:val="none" w:sz="0" w:space="0" w:color="auto"/>
        <w:bottom w:val="none" w:sz="0" w:space="0" w:color="auto"/>
        <w:right w:val="none" w:sz="0" w:space="0" w:color="auto"/>
      </w:divBdr>
    </w:div>
    <w:div w:id="882446789">
      <w:bodyDiv w:val="1"/>
      <w:marLeft w:val="0"/>
      <w:marRight w:val="0"/>
      <w:marTop w:val="0"/>
      <w:marBottom w:val="0"/>
      <w:divBdr>
        <w:top w:val="none" w:sz="0" w:space="0" w:color="auto"/>
        <w:left w:val="none" w:sz="0" w:space="0" w:color="auto"/>
        <w:bottom w:val="none" w:sz="0" w:space="0" w:color="auto"/>
        <w:right w:val="none" w:sz="0" w:space="0" w:color="auto"/>
      </w:divBdr>
    </w:div>
    <w:div w:id="885024316">
      <w:bodyDiv w:val="1"/>
      <w:marLeft w:val="0"/>
      <w:marRight w:val="0"/>
      <w:marTop w:val="0"/>
      <w:marBottom w:val="0"/>
      <w:divBdr>
        <w:top w:val="none" w:sz="0" w:space="0" w:color="auto"/>
        <w:left w:val="none" w:sz="0" w:space="0" w:color="auto"/>
        <w:bottom w:val="none" w:sz="0" w:space="0" w:color="auto"/>
        <w:right w:val="none" w:sz="0" w:space="0" w:color="auto"/>
      </w:divBdr>
    </w:div>
    <w:div w:id="934825795">
      <w:bodyDiv w:val="1"/>
      <w:marLeft w:val="0"/>
      <w:marRight w:val="0"/>
      <w:marTop w:val="0"/>
      <w:marBottom w:val="0"/>
      <w:divBdr>
        <w:top w:val="none" w:sz="0" w:space="0" w:color="auto"/>
        <w:left w:val="none" w:sz="0" w:space="0" w:color="auto"/>
        <w:bottom w:val="none" w:sz="0" w:space="0" w:color="auto"/>
        <w:right w:val="none" w:sz="0" w:space="0" w:color="auto"/>
      </w:divBdr>
    </w:div>
    <w:div w:id="992294764">
      <w:bodyDiv w:val="1"/>
      <w:marLeft w:val="0"/>
      <w:marRight w:val="0"/>
      <w:marTop w:val="0"/>
      <w:marBottom w:val="0"/>
      <w:divBdr>
        <w:top w:val="none" w:sz="0" w:space="0" w:color="auto"/>
        <w:left w:val="none" w:sz="0" w:space="0" w:color="auto"/>
        <w:bottom w:val="none" w:sz="0" w:space="0" w:color="auto"/>
        <w:right w:val="none" w:sz="0" w:space="0" w:color="auto"/>
      </w:divBdr>
    </w:div>
    <w:div w:id="1035499099">
      <w:bodyDiv w:val="1"/>
      <w:marLeft w:val="0"/>
      <w:marRight w:val="0"/>
      <w:marTop w:val="0"/>
      <w:marBottom w:val="0"/>
      <w:divBdr>
        <w:top w:val="none" w:sz="0" w:space="0" w:color="auto"/>
        <w:left w:val="none" w:sz="0" w:space="0" w:color="auto"/>
        <w:bottom w:val="none" w:sz="0" w:space="0" w:color="auto"/>
        <w:right w:val="none" w:sz="0" w:space="0" w:color="auto"/>
      </w:divBdr>
    </w:div>
    <w:div w:id="1065682785">
      <w:bodyDiv w:val="1"/>
      <w:marLeft w:val="0"/>
      <w:marRight w:val="0"/>
      <w:marTop w:val="0"/>
      <w:marBottom w:val="0"/>
      <w:divBdr>
        <w:top w:val="none" w:sz="0" w:space="0" w:color="auto"/>
        <w:left w:val="none" w:sz="0" w:space="0" w:color="auto"/>
        <w:bottom w:val="none" w:sz="0" w:space="0" w:color="auto"/>
        <w:right w:val="none" w:sz="0" w:space="0" w:color="auto"/>
      </w:divBdr>
    </w:div>
    <w:div w:id="1152678849">
      <w:bodyDiv w:val="1"/>
      <w:marLeft w:val="0"/>
      <w:marRight w:val="0"/>
      <w:marTop w:val="0"/>
      <w:marBottom w:val="0"/>
      <w:divBdr>
        <w:top w:val="none" w:sz="0" w:space="0" w:color="auto"/>
        <w:left w:val="none" w:sz="0" w:space="0" w:color="auto"/>
        <w:bottom w:val="none" w:sz="0" w:space="0" w:color="auto"/>
        <w:right w:val="none" w:sz="0" w:space="0" w:color="auto"/>
      </w:divBdr>
    </w:div>
    <w:div w:id="1228763229">
      <w:bodyDiv w:val="1"/>
      <w:marLeft w:val="0"/>
      <w:marRight w:val="0"/>
      <w:marTop w:val="0"/>
      <w:marBottom w:val="0"/>
      <w:divBdr>
        <w:top w:val="none" w:sz="0" w:space="0" w:color="auto"/>
        <w:left w:val="none" w:sz="0" w:space="0" w:color="auto"/>
        <w:bottom w:val="none" w:sz="0" w:space="0" w:color="auto"/>
        <w:right w:val="none" w:sz="0" w:space="0" w:color="auto"/>
      </w:divBdr>
    </w:div>
    <w:div w:id="1235966151">
      <w:bodyDiv w:val="1"/>
      <w:marLeft w:val="0"/>
      <w:marRight w:val="0"/>
      <w:marTop w:val="0"/>
      <w:marBottom w:val="0"/>
      <w:divBdr>
        <w:top w:val="none" w:sz="0" w:space="0" w:color="auto"/>
        <w:left w:val="none" w:sz="0" w:space="0" w:color="auto"/>
        <w:bottom w:val="none" w:sz="0" w:space="0" w:color="auto"/>
        <w:right w:val="none" w:sz="0" w:space="0" w:color="auto"/>
      </w:divBdr>
    </w:div>
    <w:div w:id="1363093904">
      <w:bodyDiv w:val="1"/>
      <w:marLeft w:val="0"/>
      <w:marRight w:val="0"/>
      <w:marTop w:val="0"/>
      <w:marBottom w:val="0"/>
      <w:divBdr>
        <w:top w:val="none" w:sz="0" w:space="0" w:color="auto"/>
        <w:left w:val="none" w:sz="0" w:space="0" w:color="auto"/>
        <w:bottom w:val="none" w:sz="0" w:space="0" w:color="auto"/>
        <w:right w:val="none" w:sz="0" w:space="0" w:color="auto"/>
      </w:divBdr>
      <w:divsChild>
        <w:div w:id="557203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714988">
              <w:marLeft w:val="0"/>
              <w:marRight w:val="0"/>
              <w:marTop w:val="0"/>
              <w:marBottom w:val="0"/>
              <w:divBdr>
                <w:top w:val="none" w:sz="0" w:space="0" w:color="auto"/>
                <w:left w:val="none" w:sz="0" w:space="0" w:color="auto"/>
                <w:bottom w:val="none" w:sz="0" w:space="0" w:color="auto"/>
                <w:right w:val="none" w:sz="0" w:space="0" w:color="auto"/>
              </w:divBdr>
              <w:divsChild>
                <w:div w:id="826288410">
                  <w:marLeft w:val="0"/>
                  <w:marRight w:val="0"/>
                  <w:marTop w:val="0"/>
                  <w:marBottom w:val="0"/>
                  <w:divBdr>
                    <w:top w:val="none" w:sz="0" w:space="0" w:color="auto"/>
                    <w:left w:val="none" w:sz="0" w:space="0" w:color="auto"/>
                    <w:bottom w:val="none" w:sz="0" w:space="0" w:color="auto"/>
                    <w:right w:val="none" w:sz="0" w:space="0" w:color="auto"/>
                  </w:divBdr>
                  <w:divsChild>
                    <w:div w:id="1016619269">
                      <w:marLeft w:val="0"/>
                      <w:marRight w:val="0"/>
                      <w:marTop w:val="0"/>
                      <w:marBottom w:val="0"/>
                      <w:divBdr>
                        <w:top w:val="none" w:sz="0" w:space="0" w:color="auto"/>
                        <w:left w:val="none" w:sz="0" w:space="0" w:color="auto"/>
                        <w:bottom w:val="none" w:sz="0" w:space="0" w:color="auto"/>
                        <w:right w:val="none" w:sz="0" w:space="0" w:color="auto"/>
                      </w:divBdr>
                      <w:divsChild>
                        <w:div w:id="5331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885864">
      <w:bodyDiv w:val="1"/>
      <w:marLeft w:val="0"/>
      <w:marRight w:val="0"/>
      <w:marTop w:val="0"/>
      <w:marBottom w:val="0"/>
      <w:divBdr>
        <w:top w:val="none" w:sz="0" w:space="0" w:color="auto"/>
        <w:left w:val="none" w:sz="0" w:space="0" w:color="auto"/>
        <w:bottom w:val="none" w:sz="0" w:space="0" w:color="auto"/>
        <w:right w:val="none" w:sz="0" w:space="0" w:color="auto"/>
      </w:divBdr>
      <w:divsChild>
        <w:div w:id="1916893715">
          <w:marLeft w:val="0"/>
          <w:marRight w:val="0"/>
          <w:marTop w:val="0"/>
          <w:marBottom w:val="0"/>
          <w:divBdr>
            <w:top w:val="none" w:sz="0" w:space="0" w:color="auto"/>
            <w:left w:val="none" w:sz="0" w:space="0" w:color="auto"/>
            <w:bottom w:val="none" w:sz="0" w:space="0" w:color="auto"/>
            <w:right w:val="none" w:sz="0" w:space="0" w:color="auto"/>
          </w:divBdr>
        </w:div>
      </w:divsChild>
    </w:div>
    <w:div w:id="1456828557">
      <w:bodyDiv w:val="1"/>
      <w:marLeft w:val="0"/>
      <w:marRight w:val="0"/>
      <w:marTop w:val="0"/>
      <w:marBottom w:val="0"/>
      <w:divBdr>
        <w:top w:val="none" w:sz="0" w:space="0" w:color="auto"/>
        <w:left w:val="none" w:sz="0" w:space="0" w:color="auto"/>
        <w:bottom w:val="none" w:sz="0" w:space="0" w:color="auto"/>
        <w:right w:val="none" w:sz="0" w:space="0" w:color="auto"/>
      </w:divBdr>
    </w:div>
    <w:div w:id="1463696155">
      <w:bodyDiv w:val="1"/>
      <w:marLeft w:val="0"/>
      <w:marRight w:val="0"/>
      <w:marTop w:val="0"/>
      <w:marBottom w:val="0"/>
      <w:divBdr>
        <w:top w:val="none" w:sz="0" w:space="0" w:color="auto"/>
        <w:left w:val="none" w:sz="0" w:space="0" w:color="auto"/>
        <w:bottom w:val="none" w:sz="0" w:space="0" w:color="auto"/>
        <w:right w:val="none" w:sz="0" w:space="0" w:color="auto"/>
      </w:divBdr>
      <w:divsChild>
        <w:div w:id="2028361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915936">
              <w:marLeft w:val="0"/>
              <w:marRight w:val="0"/>
              <w:marTop w:val="0"/>
              <w:marBottom w:val="0"/>
              <w:divBdr>
                <w:top w:val="none" w:sz="0" w:space="0" w:color="auto"/>
                <w:left w:val="none" w:sz="0" w:space="0" w:color="auto"/>
                <w:bottom w:val="none" w:sz="0" w:space="0" w:color="auto"/>
                <w:right w:val="none" w:sz="0" w:space="0" w:color="auto"/>
              </w:divBdr>
              <w:divsChild>
                <w:div w:id="2007706493">
                  <w:marLeft w:val="0"/>
                  <w:marRight w:val="0"/>
                  <w:marTop w:val="0"/>
                  <w:marBottom w:val="0"/>
                  <w:divBdr>
                    <w:top w:val="none" w:sz="0" w:space="0" w:color="auto"/>
                    <w:left w:val="none" w:sz="0" w:space="0" w:color="auto"/>
                    <w:bottom w:val="none" w:sz="0" w:space="0" w:color="auto"/>
                    <w:right w:val="none" w:sz="0" w:space="0" w:color="auto"/>
                  </w:divBdr>
                  <w:divsChild>
                    <w:div w:id="1738744811">
                      <w:marLeft w:val="0"/>
                      <w:marRight w:val="0"/>
                      <w:marTop w:val="0"/>
                      <w:marBottom w:val="0"/>
                      <w:divBdr>
                        <w:top w:val="none" w:sz="0" w:space="0" w:color="auto"/>
                        <w:left w:val="none" w:sz="0" w:space="0" w:color="auto"/>
                        <w:bottom w:val="none" w:sz="0" w:space="0" w:color="auto"/>
                        <w:right w:val="none" w:sz="0" w:space="0" w:color="auto"/>
                      </w:divBdr>
                      <w:divsChild>
                        <w:div w:id="52528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388824">
      <w:bodyDiv w:val="1"/>
      <w:marLeft w:val="0"/>
      <w:marRight w:val="0"/>
      <w:marTop w:val="0"/>
      <w:marBottom w:val="0"/>
      <w:divBdr>
        <w:top w:val="none" w:sz="0" w:space="0" w:color="auto"/>
        <w:left w:val="none" w:sz="0" w:space="0" w:color="auto"/>
        <w:bottom w:val="none" w:sz="0" w:space="0" w:color="auto"/>
        <w:right w:val="none" w:sz="0" w:space="0" w:color="auto"/>
      </w:divBdr>
    </w:div>
    <w:div w:id="1559129854">
      <w:bodyDiv w:val="1"/>
      <w:marLeft w:val="0"/>
      <w:marRight w:val="0"/>
      <w:marTop w:val="0"/>
      <w:marBottom w:val="0"/>
      <w:divBdr>
        <w:top w:val="none" w:sz="0" w:space="0" w:color="auto"/>
        <w:left w:val="none" w:sz="0" w:space="0" w:color="auto"/>
        <w:bottom w:val="none" w:sz="0" w:space="0" w:color="auto"/>
        <w:right w:val="none" w:sz="0" w:space="0" w:color="auto"/>
      </w:divBdr>
      <w:divsChild>
        <w:div w:id="1482696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364058">
              <w:marLeft w:val="0"/>
              <w:marRight w:val="0"/>
              <w:marTop w:val="0"/>
              <w:marBottom w:val="0"/>
              <w:divBdr>
                <w:top w:val="none" w:sz="0" w:space="0" w:color="auto"/>
                <w:left w:val="none" w:sz="0" w:space="0" w:color="auto"/>
                <w:bottom w:val="none" w:sz="0" w:space="0" w:color="auto"/>
                <w:right w:val="none" w:sz="0" w:space="0" w:color="auto"/>
              </w:divBdr>
              <w:divsChild>
                <w:div w:id="1199390064">
                  <w:marLeft w:val="0"/>
                  <w:marRight w:val="0"/>
                  <w:marTop w:val="0"/>
                  <w:marBottom w:val="0"/>
                  <w:divBdr>
                    <w:top w:val="none" w:sz="0" w:space="0" w:color="auto"/>
                    <w:left w:val="none" w:sz="0" w:space="0" w:color="auto"/>
                    <w:bottom w:val="none" w:sz="0" w:space="0" w:color="auto"/>
                    <w:right w:val="none" w:sz="0" w:space="0" w:color="auto"/>
                  </w:divBdr>
                  <w:divsChild>
                    <w:div w:id="1463039078">
                      <w:marLeft w:val="0"/>
                      <w:marRight w:val="0"/>
                      <w:marTop w:val="0"/>
                      <w:marBottom w:val="0"/>
                      <w:divBdr>
                        <w:top w:val="none" w:sz="0" w:space="0" w:color="auto"/>
                        <w:left w:val="none" w:sz="0" w:space="0" w:color="auto"/>
                        <w:bottom w:val="none" w:sz="0" w:space="0" w:color="auto"/>
                        <w:right w:val="none" w:sz="0" w:space="0" w:color="auto"/>
                      </w:divBdr>
                      <w:divsChild>
                        <w:div w:id="9819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542377">
      <w:bodyDiv w:val="1"/>
      <w:marLeft w:val="0"/>
      <w:marRight w:val="0"/>
      <w:marTop w:val="0"/>
      <w:marBottom w:val="0"/>
      <w:divBdr>
        <w:top w:val="none" w:sz="0" w:space="0" w:color="auto"/>
        <w:left w:val="none" w:sz="0" w:space="0" w:color="auto"/>
        <w:bottom w:val="none" w:sz="0" w:space="0" w:color="auto"/>
        <w:right w:val="none" w:sz="0" w:space="0" w:color="auto"/>
      </w:divBdr>
    </w:div>
    <w:div w:id="1585335869">
      <w:bodyDiv w:val="1"/>
      <w:marLeft w:val="0"/>
      <w:marRight w:val="0"/>
      <w:marTop w:val="0"/>
      <w:marBottom w:val="0"/>
      <w:divBdr>
        <w:top w:val="none" w:sz="0" w:space="0" w:color="auto"/>
        <w:left w:val="none" w:sz="0" w:space="0" w:color="auto"/>
        <w:bottom w:val="none" w:sz="0" w:space="0" w:color="auto"/>
        <w:right w:val="none" w:sz="0" w:space="0" w:color="auto"/>
      </w:divBdr>
    </w:div>
    <w:div w:id="1756590915">
      <w:bodyDiv w:val="1"/>
      <w:marLeft w:val="0"/>
      <w:marRight w:val="0"/>
      <w:marTop w:val="0"/>
      <w:marBottom w:val="0"/>
      <w:divBdr>
        <w:top w:val="none" w:sz="0" w:space="0" w:color="auto"/>
        <w:left w:val="none" w:sz="0" w:space="0" w:color="auto"/>
        <w:bottom w:val="none" w:sz="0" w:space="0" w:color="auto"/>
        <w:right w:val="none" w:sz="0" w:space="0" w:color="auto"/>
      </w:divBdr>
    </w:div>
    <w:div w:id="1770002004">
      <w:bodyDiv w:val="1"/>
      <w:marLeft w:val="0"/>
      <w:marRight w:val="0"/>
      <w:marTop w:val="0"/>
      <w:marBottom w:val="0"/>
      <w:divBdr>
        <w:top w:val="none" w:sz="0" w:space="0" w:color="auto"/>
        <w:left w:val="none" w:sz="0" w:space="0" w:color="auto"/>
        <w:bottom w:val="none" w:sz="0" w:space="0" w:color="auto"/>
        <w:right w:val="none" w:sz="0" w:space="0" w:color="auto"/>
      </w:divBdr>
      <w:divsChild>
        <w:div w:id="1054936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510320">
              <w:marLeft w:val="0"/>
              <w:marRight w:val="0"/>
              <w:marTop w:val="0"/>
              <w:marBottom w:val="0"/>
              <w:divBdr>
                <w:top w:val="none" w:sz="0" w:space="0" w:color="auto"/>
                <w:left w:val="none" w:sz="0" w:space="0" w:color="auto"/>
                <w:bottom w:val="none" w:sz="0" w:space="0" w:color="auto"/>
                <w:right w:val="none" w:sz="0" w:space="0" w:color="auto"/>
              </w:divBdr>
              <w:divsChild>
                <w:div w:id="1864509550">
                  <w:marLeft w:val="0"/>
                  <w:marRight w:val="0"/>
                  <w:marTop w:val="0"/>
                  <w:marBottom w:val="0"/>
                  <w:divBdr>
                    <w:top w:val="none" w:sz="0" w:space="0" w:color="auto"/>
                    <w:left w:val="none" w:sz="0" w:space="0" w:color="auto"/>
                    <w:bottom w:val="none" w:sz="0" w:space="0" w:color="auto"/>
                    <w:right w:val="none" w:sz="0" w:space="0" w:color="auto"/>
                  </w:divBdr>
                  <w:divsChild>
                    <w:div w:id="109008878">
                      <w:marLeft w:val="0"/>
                      <w:marRight w:val="0"/>
                      <w:marTop w:val="0"/>
                      <w:marBottom w:val="0"/>
                      <w:divBdr>
                        <w:top w:val="none" w:sz="0" w:space="0" w:color="auto"/>
                        <w:left w:val="none" w:sz="0" w:space="0" w:color="auto"/>
                        <w:bottom w:val="none" w:sz="0" w:space="0" w:color="auto"/>
                        <w:right w:val="none" w:sz="0" w:space="0" w:color="auto"/>
                      </w:divBdr>
                      <w:divsChild>
                        <w:div w:id="64501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560270">
      <w:bodyDiv w:val="1"/>
      <w:marLeft w:val="0"/>
      <w:marRight w:val="0"/>
      <w:marTop w:val="0"/>
      <w:marBottom w:val="0"/>
      <w:divBdr>
        <w:top w:val="none" w:sz="0" w:space="0" w:color="auto"/>
        <w:left w:val="none" w:sz="0" w:space="0" w:color="auto"/>
        <w:bottom w:val="none" w:sz="0" w:space="0" w:color="auto"/>
        <w:right w:val="none" w:sz="0" w:space="0" w:color="auto"/>
      </w:divBdr>
    </w:div>
    <w:div w:id="1825659991">
      <w:bodyDiv w:val="1"/>
      <w:marLeft w:val="0"/>
      <w:marRight w:val="0"/>
      <w:marTop w:val="0"/>
      <w:marBottom w:val="0"/>
      <w:divBdr>
        <w:top w:val="none" w:sz="0" w:space="0" w:color="auto"/>
        <w:left w:val="none" w:sz="0" w:space="0" w:color="auto"/>
        <w:bottom w:val="none" w:sz="0" w:space="0" w:color="auto"/>
        <w:right w:val="none" w:sz="0" w:space="0" w:color="auto"/>
      </w:divBdr>
    </w:div>
    <w:div w:id="1836678320">
      <w:bodyDiv w:val="1"/>
      <w:marLeft w:val="0"/>
      <w:marRight w:val="0"/>
      <w:marTop w:val="0"/>
      <w:marBottom w:val="0"/>
      <w:divBdr>
        <w:top w:val="none" w:sz="0" w:space="0" w:color="auto"/>
        <w:left w:val="none" w:sz="0" w:space="0" w:color="auto"/>
        <w:bottom w:val="none" w:sz="0" w:space="0" w:color="auto"/>
        <w:right w:val="none" w:sz="0" w:space="0" w:color="auto"/>
      </w:divBdr>
    </w:div>
    <w:div w:id="1860924172">
      <w:bodyDiv w:val="1"/>
      <w:marLeft w:val="0"/>
      <w:marRight w:val="0"/>
      <w:marTop w:val="0"/>
      <w:marBottom w:val="0"/>
      <w:divBdr>
        <w:top w:val="none" w:sz="0" w:space="0" w:color="auto"/>
        <w:left w:val="none" w:sz="0" w:space="0" w:color="auto"/>
        <w:bottom w:val="none" w:sz="0" w:space="0" w:color="auto"/>
        <w:right w:val="none" w:sz="0" w:space="0" w:color="auto"/>
      </w:divBdr>
    </w:div>
    <w:div w:id="1892883172">
      <w:bodyDiv w:val="1"/>
      <w:marLeft w:val="0"/>
      <w:marRight w:val="0"/>
      <w:marTop w:val="0"/>
      <w:marBottom w:val="0"/>
      <w:divBdr>
        <w:top w:val="none" w:sz="0" w:space="0" w:color="auto"/>
        <w:left w:val="none" w:sz="0" w:space="0" w:color="auto"/>
        <w:bottom w:val="none" w:sz="0" w:space="0" w:color="auto"/>
        <w:right w:val="none" w:sz="0" w:space="0" w:color="auto"/>
      </w:divBdr>
    </w:div>
    <w:div w:id="1908883182">
      <w:bodyDiv w:val="1"/>
      <w:marLeft w:val="0"/>
      <w:marRight w:val="0"/>
      <w:marTop w:val="0"/>
      <w:marBottom w:val="0"/>
      <w:divBdr>
        <w:top w:val="none" w:sz="0" w:space="0" w:color="auto"/>
        <w:left w:val="none" w:sz="0" w:space="0" w:color="auto"/>
        <w:bottom w:val="none" w:sz="0" w:space="0" w:color="auto"/>
        <w:right w:val="none" w:sz="0" w:space="0" w:color="auto"/>
      </w:divBdr>
    </w:div>
    <w:div w:id="1920947038">
      <w:bodyDiv w:val="1"/>
      <w:marLeft w:val="0"/>
      <w:marRight w:val="0"/>
      <w:marTop w:val="0"/>
      <w:marBottom w:val="0"/>
      <w:divBdr>
        <w:top w:val="none" w:sz="0" w:space="0" w:color="auto"/>
        <w:left w:val="none" w:sz="0" w:space="0" w:color="auto"/>
        <w:bottom w:val="none" w:sz="0" w:space="0" w:color="auto"/>
        <w:right w:val="none" w:sz="0" w:space="0" w:color="auto"/>
      </w:divBdr>
    </w:div>
    <w:div w:id="1940521718">
      <w:bodyDiv w:val="1"/>
      <w:marLeft w:val="0"/>
      <w:marRight w:val="0"/>
      <w:marTop w:val="0"/>
      <w:marBottom w:val="0"/>
      <w:divBdr>
        <w:top w:val="none" w:sz="0" w:space="0" w:color="auto"/>
        <w:left w:val="none" w:sz="0" w:space="0" w:color="auto"/>
        <w:bottom w:val="none" w:sz="0" w:space="0" w:color="auto"/>
        <w:right w:val="none" w:sz="0" w:space="0" w:color="auto"/>
      </w:divBdr>
      <w:divsChild>
        <w:div w:id="1262714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332468">
              <w:marLeft w:val="0"/>
              <w:marRight w:val="0"/>
              <w:marTop w:val="0"/>
              <w:marBottom w:val="0"/>
              <w:divBdr>
                <w:top w:val="none" w:sz="0" w:space="0" w:color="auto"/>
                <w:left w:val="none" w:sz="0" w:space="0" w:color="auto"/>
                <w:bottom w:val="none" w:sz="0" w:space="0" w:color="auto"/>
                <w:right w:val="none" w:sz="0" w:space="0" w:color="auto"/>
              </w:divBdr>
              <w:divsChild>
                <w:div w:id="235484087">
                  <w:marLeft w:val="0"/>
                  <w:marRight w:val="0"/>
                  <w:marTop w:val="0"/>
                  <w:marBottom w:val="0"/>
                  <w:divBdr>
                    <w:top w:val="none" w:sz="0" w:space="0" w:color="auto"/>
                    <w:left w:val="none" w:sz="0" w:space="0" w:color="auto"/>
                    <w:bottom w:val="none" w:sz="0" w:space="0" w:color="auto"/>
                    <w:right w:val="none" w:sz="0" w:space="0" w:color="auto"/>
                  </w:divBdr>
                  <w:divsChild>
                    <w:div w:id="1165706822">
                      <w:marLeft w:val="0"/>
                      <w:marRight w:val="0"/>
                      <w:marTop w:val="0"/>
                      <w:marBottom w:val="0"/>
                      <w:divBdr>
                        <w:top w:val="none" w:sz="0" w:space="0" w:color="auto"/>
                        <w:left w:val="none" w:sz="0" w:space="0" w:color="auto"/>
                        <w:bottom w:val="none" w:sz="0" w:space="0" w:color="auto"/>
                        <w:right w:val="none" w:sz="0" w:space="0" w:color="auto"/>
                      </w:divBdr>
                      <w:divsChild>
                        <w:div w:id="20102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815080">
      <w:bodyDiv w:val="1"/>
      <w:marLeft w:val="0"/>
      <w:marRight w:val="0"/>
      <w:marTop w:val="0"/>
      <w:marBottom w:val="0"/>
      <w:divBdr>
        <w:top w:val="none" w:sz="0" w:space="0" w:color="auto"/>
        <w:left w:val="none" w:sz="0" w:space="0" w:color="auto"/>
        <w:bottom w:val="none" w:sz="0" w:space="0" w:color="auto"/>
        <w:right w:val="none" w:sz="0" w:space="0" w:color="auto"/>
      </w:divBdr>
      <w:divsChild>
        <w:div w:id="94184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5299971">
              <w:marLeft w:val="0"/>
              <w:marRight w:val="0"/>
              <w:marTop w:val="0"/>
              <w:marBottom w:val="0"/>
              <w:divBdr>
                <w:top w:val="none" w:sz="0" w:space="0" w:color="auto"/>
                <w:left w:val="none" w:sz="0" w:space="0" w:color="auto"/>
                <w:bottom w:val="none" w:sz="0" w:space="0" w:color="auto"/>
                <w:right w:val="none" w:sz="0" w:space="0" w:color="auto"/>
              </w:divBdr>
              <w:divsChild>
                <w:div w:id="877548905">
                  <w:marLeft w:val="0"/>
                  <w:marRight w:val="0"/>
                  <w:marTop w:val="0"/>
                  <w:marBottom w:val="0"/>
                  <w:divBdr>
                    <w:top w:val="none" w:sz="0" w:space="0" w:color="auto"/>
                    <w:left w:val="none" w:sz="0" w:space="0" w:color="auto"/>
                    <w:bottom w:val="none" w:sz="0" w:space="0" w:color="auto"/>
                    <w:right w:val="none" w:sz="0" w:space="0" w:color="auto"/>
                  </w:divBdr>
                  <w:divsChild>
                    <w:div w:id="1250313212">
                      <w:marLeft w:val="0"/>
                      <w:marRight w:val="0"/>
                      <w:marTop w:val="0"/>
                      <w:marBottom w:val="0"/>
                      <w:divBdr>
                        <w:top w:val="none" w:sz="0" w:space="0" w:color="auto"/>
                        <w:left w:val="none" w:sz="0" w:space="0" w:color="auto"/>
                        <w:bottom w:val="none" w:sz="0" w:space="0" w:color="auto"/>
                        <w:right w:val="none" w:sz="0" w:space="0" w:color="auto"/>
                      </w:divBdr>
                      <w:divsChild>
                        <w:div w:id="107925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311717">
      <w:bodyDiv w:val="1"/>
      <w:marLeft w:val="0"/>
      <w:marRight w:val="0"/>
      <w:marTop w:val="0"/>
      <w:marBottom w:val="0"/>
      <w:divBdr>
        <w:top w:val="none" w:sz="0" w:space="0" w:color="auto"/>
        <w:left w:val="none" w:sz="0" w:space="0" w:color="auto"/>
        <w:bottom w:val="none" w:sz="0" w:space="0" w:color="auto"/>
        <w:right w:val="none" w:sz="0" w:space="0" w:color="auto"/>
      </w:divBdr>
    </w:div>
    <w:div w:id="2006083704">
      <w:bodyDiv w:val="1"/>
      <w:marLeft w:val="0"/>
      <w:marRight w:val="0"/>
      <w:marTop w:val="0"/>
      <w:marBottom w:val="0"/>
      <w:divBdr>
        <w:top w:val="none" w:sz="0" w:space="0" w:color="auto"/>
        <w:left w:val="none" w:sz="0" w:space="0" w:color="auto"/>
        <w:bottom w:val="none" w:sz="0" w:space="0" w:color="auto"/>
        <w:right w:val="none" w:sz="0" w:space="0" w:color="auto"/>
      </w:divBdr>
    </w:div>
    <w:div w:id="2018843089">
      <w:bodyDiv w:val="1"/>
      <w:marLeft w:val="0"/>
      <w:marRight w:val="0"/>
      <w:marTop w:val="0"/>
      <w:marBottom w:val="0"/>
      <w:divBdr>
        <w:top w:val="none" w:sz="0" w:space="0" w:color="auto"/>
        <w:left w:val="none" w:sz="0" w:space="0" w:color="auto"/>
        <w:bottom w:val="none" w:sz="0" w:space="0" w:color="auto"/>
        <w:right w:val="none" w:sz="0" w:space="0" w:color="auto"/>
      </w:divBdr>
    </w:div>
    <w:div w:id="2058551502">
      <w:bodyDiv w:val="1"/>
      <w:marLeft w:val="0"/>
      <w:marRight w:val="0"/>
      <w:marTop w:val="0"/>
      <w:marBottom w:val="0"/>
      <w:divBdr>
        <w:top w:val="none" w:sz="0" w:space="0" w:color="auto"/>
        <w:left w:val="none" w:sz="0" w:space="0" w:color="auto"/>
        <w:bottom w:val="none" w:sz="0" w:space="0" w:color="auto"/>
        <w:right w:val="none" w:sz="0" w:space="0" w:color="auto"/>
      </w:divBdr>
    </w:div>
    <w:div w:id="2072776321">
      <w:bodyDiv w:val="1"/>
      <w:marLeft w:val="0"/>
      <w:marRight w:val="0"/>
      <w:marTop w:val="0"/>
      <w:marBottom w:val="0"/>
      <w:divBdr>
        <w:top w:val="none" w:sz="0" w:space="0" w:color="auto"/>
        <w:left w:val="none" w:sz="0" w:space="0" w:color="auto"/>
        <w:bottom w:val="none" w:sz="0" w:space="0" w:color="auto"/>
        <w:right w:val="none" w:sz="0" w:space="0" w:color="auto"/>
      </w:divBdr>
      <w:divsChild>
        <w:div w:id="11756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56083">
              <w:marLeft w:val="0"/>
              <w:marRight w:val="0"/>
              <w:marTop w:val="0"/>
              <w:marBottom w:val="0"/>
              <w:divBdr>
                <w:top w:val="none" w:sz="0" w:space="0" w:color="auto"/>
                <w:left w:val="none" w:sz="0" w:space="0" w:color="auto"/>
                <w:bottom w:val="none" w:sz="0" w:space="0" w:color="auto"/>
                <w:right w:val="none" w:sz="0" w:space="0" w:color="auto"/>
              </w:divBdr>
              <w:divsChild>
                <w:div w:id="1412191193">
                  <w:marLeft w:val="0"/>
                  <w:marRight w:val="0"/>
                  <w:marTop w:val="0"/>
                  <w:marBottom w:val="0"/>
                  <w:divBdr>
                    <w:top w:val="none" w:sz="0" w:space="0" w:color="auto"/>
                    <w:left w:val="none" w:sz="0" w:space="0" w:color="auto"/>
                    <w:bottom w:val="none" w:sz="0" w:space="0" w:color="auto"/>
                    <w:right w:val="none" w:sz="0" w:space="0" w:color="auto"/>
                  </w:divBdr>
                  <w:divsChild>
                    <w:div w:id="2063484405">
                      <w:marLeft w:val="0"/>
                      <w:marRight w:val="0"/>
                      <w:marTop w:val="0"/>
                      <w:marBottom w:val="0"/>
                      <w:divBdr>
                        <w:top w:val="none" w:sz="0" w:space="0" w:color="auto"/>
                        <w:left w:val="none" w:sz="0" w:space="0" w:color="auto"/>
                        <w:bottom w:val="none" w:sz="0" w:space="0" w:color="auto"/>
                        <w:right w:val="none" w:sz="0" w:space="0" w:color="auto"/>
                      </w:divBdr>
                      <w:divsChild>
                        <w:div w:id="214507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5.png@01D12061.663682A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9C8F6-0557-4717-8354-A7578B9A0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4086</Words>
  <Characters>23294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Price</dc:creator>
  <cp:keywords/>
  <dc:description/>
  <cp:lastModifiedBy>Mary Bruce</cp:lastModifiedBy>
  <cp:revision>15</cp:revision>
  <cp:lastPrinted>2024-08-23T12:30:00Z</cp:lastPrinted>
  <dcterms:created xsi:type="dcterms:W3CDTF">2024-08-23T11:52:00Z</dcterms:created>
  <dcterms:modified xsi:type="dcterms:W3CDTF">2024-08-26T07:42:00Z</dcterms:modified>
</cp:coreProperties>
</file>