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D6447" w14:textId="77777777" w:rsidR="004D77C7" w:rsidRDefault="00FC7D58" w:rsidP="004D77C7">
      <w:pPr>
        <w:autoSpaceDE w:val="0"/>
        <w:autoSpaceDN w:val="0"/>
        <w:adjustRightInd w:val="0"/>
        <w:spacing w:after="0" w:line="241" w:lineRule="atLeast"/>
        <w:jc w:val="center"/>
        <w:rPr>
          <w:rFonts w:ascii="Century Gothic" w:eastAsia="Times New Roman" w:hAnsi="Century Gothic" w:cs="Arial"/>
          <w:b/>
          <w:sz w:val="28"/>
          <w:szCs w:val="28"/>
          <w:lang w:val="af-ZA"/>
        </w:rPr>
      </w:pPr>
      <w:bookmarkStart w:id="0" w:name="_GoBack"/>
      <w:bookmarkEnd w:id="0"/>
      <w:r>
        <w:rPr>
          <w:rFonts w:ascii="Calibri" w:hAnsi="Calibri"/>
          <w:noProof/>
          <w:lang w:val="en-ZA" w:eastAsia="en-ZA"/>
        </w:rPr>
        <w:drawing>
          <wp:inline distT="0" distB="0" distL="0" distR="0" wp14:anchorId="706DB571" wp14:editId="3BD6AE9B">
            <wp:extent cx="128270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2700" cy="1219200"/>
                    </a:xfrm>
                    <a:prstGeom prst="rect">
                      <a:avLst/>
                    </a:prstGeom>
                    <a:noFill/>
                    <a:ln>
                      <a:noFill/>
                    </a:ln>
                  </pic:spPr>
                </pic:pic>
              </a:graphicData>
            </a:graphic>
          </wp:inline>
        </w:drawing>
      </w:r>
    </w:p>
    <w:p w14:paraId="03DCF7A0" w14:textId="77777777" w:rsidR="004D77C7" w:rsidRDefault="004D77C7" w:rsidP="004D77C7">
      <w:pPr>
        <w:autoSpaceDE w:val="0"/>
        <w:autoSpaceDN w:val="0"/>
        <w:adjustRightInd w:val="0"/>
        <w:spacing w:after="0" w:line="241" w:lineRule="atLeast"/>
        <w:jc w:val="center"/>
        <w:rPr>
          <w:rFonts w:ascii="Arial" w:eastAsia="Times New Roman" w:hAnsi="Arial" w:cs="Arial"/>
          <w:b/>
          <w:sz w:val="24"/>
          <w:szCs w:val="24"/>
          <w:lang w:val="af-ZA"/>
        </w:rPr>
      </w:pPr>
      <w:r>
        <w:rPr>
          <w:rFonts w:ascii="Arial" w:eastAsia="Times New Roman" w:hAnsi="Arial" w:cs="Arial"/>
          <w:b/>
          <w:sz w:val="24"/>
          <w:szCs w:val="24"/>
          <w:lang w:val="af-ZA"/>
        </w:rPr>
        <w:t>IN THE HIGH COURT OF SOUTH AFRICA</w:t>
      </w:r>
    </w:p>
    <w:p w14:paraId="4F14641B" w14:textId="77777777" w:rsidR="004D77C7" w:rsidRDefault="004D77C7" w:rsidP="004D77C7">
      <w:pPr>
        <w:autoSpaceDE w:val="0"/>
        <w:autoSpaceDN w:val="0"/>
        <w:adjustRightInd w:val="0"/>
        <w:spacing w:after="0" w:line="241" w:lineRule="atLeast"/>
        <w:jc w:val="center"/>
        <w:rPr>
          <w:rFonts w:ascii="Arial" w:eastAsia="Times New Roman" w:hAnsi="Arial" w:cs="Arial"/>
          <w:b/>
          <w:sz w:val="24"/>
          <w:szCs w:val="24"/>
          <w:lang w:val="af-ZA"/>
        </w:rPr>
      </w:pPr>
      <w:r>
        <w:rPr>
          <w:rFonts w:ascii="Arial" w:eastAsia="Times New Roman" w:hAnsi="Arial" w:cs="Arial"/>
          <w:b/>
          <w:sz w:val="24"/>
          <w:szCs w:val="24"/>
          <w:lang w:val="af-ZA"/>
        </w:rPr>
        <w:t>(WESTERN CAPE DIVISION, CAPE TOWN)</w:t>
      </w:r>
    </w:p>
    <w:p w14:paraId="5C513560" w14:textId="77777777" w:rsidR="004D77C7" w:rsidRDefault="004D77C7" w:rsidP="004D77C7">
      <w:pPr>
        <w:spacing w:after="0" w:line="240" w:lineRule="auto"/>
        <w:rPr>
          <w:rFonts w:ascii="Arial" w:eastAsia="Times New Roman" w:hAnsi="Arial" w:cs="Arial"/>
          <w:b/>
          <w:sz w:val="24"/>
          <w:szCs w:val="24"/>
          <w:lang w:val="af-ZA"/>
        </w:rPr>
      </w:pPr>
    </w:p>
    <w:p w14:paraId="32798E59" w14:textId="77777777" w:rsidR="004D77C7" w:rsidRDefault="004D77C7" w:rsidP="004D77C7">
      <w:pPr>
        <w:spacing w:after="0" w:line="240" w:lineRule="auto"/>
        <w:jc w:val="right"/>
        <w:rPr>
          <w:rFonts w:ascii="Arial" w:eastAsia="Times New Roman" w:hAnsi="Arial" w:cs="Arial"/>
          <w:b/>
          <w:sz w:val="24"/>
          <w:szCs w:val="24"/>
          <w:lang w:val="af-ZA"/>
        </w:rPr>
      </w:pPr>
      <w:r>
        <w:rPr>
          <w:rFonts w:ascii="Arial" w:eastAsia="Times New Roman" w:hAnsi="Arial" w:cs="Arial"/>
          <w:sz w:val="24"/>
          <w:szCs w:val="24"/>
          <w:lang w:val="af-ZA"/>
        </w:rPr>
        <w:t xml:space="preserve">                                                </w:t>
      </w:r>
      <w:r w:rsidR="008671A8">
        <w:rPr>
          <w:rFonts w:ascii="Arial" w:eastAsia="Times New Roman" w:hAnsi="Arial" w:cs="Arial"/>
          <w:b/>
          <w:sz w:val="24"/>
          <w:szCs w:val="24"/>
          <w:lang w:val="af-ZA"/>
        </w:rPr>
        <w:t>Case Number: 8042/2007</w:t>
      </w:r>
    </w:p>
    <w:p w14:paraId="7C56CA70" w14:textId="77777777" w:rsidR="004D77C7" w:rsidRPr="00157BCB" w:rsidRDefault="004D77C7" w:rsidP="004D77C7">
      <w:pPr>
        <w:spacing w:after="0" w:line="240" w:lineRule="auto"/>
        <w:jc w:val="right"/>
        <w:rPr>
          <w:rFonts w:ascii="Arial" w:eastAsia="Times New Roman" w:hAnsi="Arial" w:cs="Arial"/>
          <w:i/>
          <w:sz w:val="24"/>
          <w:szCs w:val="24"/>
          <w:u w:val="single"/>
          <w:lang w:val="af-ZA"/>
        </w:rPr>
      </w:pPr>
    </w:p>
    <w:p w14:paraId="28A13049" w14:textId="77777777" w:rsidR="004D77C7" w:rsidRDefault="004D77C7" w:rsidP="004D77C7">
      <w:pPr>
        <w:spacing w:after="0" w:line="240" w:lineRule="auto"/>
        <w:jc w:val="center"/>
        <w:rPr>
          <w:rFonts w:ascii="Arial" w:eastAsia="Times New Roman" w:hAnsi="Arial" w:cs="Arial"/>
          <w:b/>
          <w:sz w:val="24"/>
          <w:szCs w:val="24"/>
          <w:lang w:val="af-ZA"/>
        </w:rPr>
      </w:pPr>
      <w:r>
        <w:rPr>
          <w:rFonts w:ascii="Arial" w:eastAsia="Times New Roman" w:hAnsi="Arial" w:cs="Arial"/>
          <w:b/>
          <w:sz w:val="24"/>
          <w:szCs w:val="24"/>
          <w:lang w:val="af-ZA"/>
        </w:rPr>
        <w:t xml:space="preserve">                                               </w:t>
      </w:r>
    </w:p>
    <w:p w14:paraId="4AC63543" w14:textId="77777777" w:rsidR="004D77C7" w:rsidRDefault="004D77C7" w:rsidP="004D77C7">
      <w:pPr>
        <w:spacing w:after="0" w:line="240" w:lineRule="auto"/>
        <w:jc w:val="center"/>
        <w:rPr>
          <w:rFonts w:ascii="Arial" w:eastAsia="Times New Roman" w:hAnsi="Arial" w:cs="Arial"/>
          <w:b/>
          <w:sz w:val="24"/>
          <w:szCs w:val="24"/>
          <w:lang w:val="af-ZA"/>
        </w:rPr>
      </w:pPr>
      <w:r>
        <w:rPr>
          <w:rFonts w:ascii="Arial" w:eastAsia="Times New Roman" w:hAnsi="Arial" w:cs="Arial"/>
          <w:b/>
          <w:sz w:val="24"/>
          <w:szCs w:val="24"/>
          <w:lang w:val="af-ZA"/>
        </w:rPr>
        <w:t xml:space="preserve">                                                                   </w:t>
      </w:r>
    </w:p>
    <w:p w14:paraId="30F635E4" w14:textId="77777777" w:rsidR="004D77C7" w:rsidRDefault="004D77C7" w:rsidP="004D77C7">
      <w:pPr>
        <w:spacing w:after="0"/>
        <w:jc w:val="both"/>
        <w:rPr>
          <w:rFonts w:ascii="Arial" w:eastAsia="Times New Roman" w:hAnsi="Arial" w:cs="Arial"/>
          <w:sz w:val="24"/>
          <w:szCs w:val="24"/>
          <w:lang w:val="af-ZA"/>
        </w:rPr>
      </w:pPr>
      <w:r>
        <w:rPr>
          <w:rFonts w:ascii="Arial" w:eastAsia="Times New Roman" w:hAnsi="Arial" w:cs="Arial"/>
          <w:sz w:val="24"/>
          <w:szCs w:val="24"/>
          <w:lang w:val="af-ZA"/>
        </w:rPr>
        <w:t>In the matter between:</w:t>
      </w:r>
    </w:p>
    <w:p w14:paraId="707E2A8A" w14:textId="77777777" w:rsidR="004D77C7" w:rsidRDefault="004D77C7" w:rsidP="004D77C7">
      <w:pPr>
        <w:spacing w:after="0"/>
        <w:jc w:val="both"/>
        <w:rPr>
          <w:rFonts w:ascii="Arial" w:eastAsia="Times New Roman" w:hAnsi="Arial" w:cs="Arial"/>
          <w:sz w:val="24"/>
          <w:szCs w:val="24"/>
          <w:lang w:val="af-ZA"/>
        </w:rPr>
      </w:pPr>
    </w:p>
    <w:p w14:paraId="3332F19C" w14:textId="77777777" w:rsidR="004D77C7" w:rsidRDefault="004D77C7" w:rsidP="004D77C7">
      <w:pPr>
        <w:tabs>
          <w:tab w:val="right" w:pos="9480"/>
        </w:tabs>
        <w:spacing w:after="0"/>
        <w:jc w:val="both"/>
        <w:rPr>
          <w:rFonts w:ascii="Arial" w:eastAsia="Times New Roman" w:hAnsi="Arial" w:cs="Arial"/>
          <w:b/>
          <w:sz w:val="24"/>
          <w:szCs w:val="24"/>
          <w:lang w:val="af-ZA"/>
        </w:rPr>
      </w:pPr>
    </w:p>
    <w:p w14:paraId="446BC2B7" w14:textId="77777777" w:rsidR="004D77C7" w:rsidRPr="005B2AA3" w:rsidRDefault="008671A8" w:rsidP="004D77C7">
      <w:pPr>
        <w:tabs>
          <w:tab w:val="right" w:pos="9480"/>
        </w:tabs>
        <w:spacing w:after="0"/>
        <w:jc w:val="both"/>
        <w:rPr>
          <w:rFonts w:ascii="Arial" w:eastAsia="Times New Roman" w:hAnsi="Arial" w:cs="Arial"/>
          <w:sz w:val="24"/>
          <w:szCs w:val="24"/>
          <w:lang w:val="af-ZA"/>
        </w:rPr>
      </w:pPr>
      <w:r>
        <w:rPr>
          <w:rFonts w:ascii="Arial" w:eastAsia="Times New Roman" w:hAnsi="Arial" w:cs="Arial"/>
          <w:b/>
          <w:sz w:val="24"/>
          <w:szCs w:val="24"/>
          <w:lang w:val="af-ZA"/>
        </w:rPr>
        <w:t>NOSISANA MERCY TEKETE</w:t>
      </w:r>
      <w:r w:rsidR="004D77C7">
        <w:rPr>
          <w:rFonts w:ascii="Arial" w:eastAsia="Times New Roman" w:hAnsi="Arial" w:cs="Arial"/>
          <w:b/>
          <w:sz w:val="24"/>
          <w:szCs w:val="24"/>
          <w:lang w:val="af-ZA"/>
        </w:rPr>
        <w:tab/>
        <w:t xml:space="preserve">        </w:t>
      </w:r>
      <w:r>
        <w:rPr>
          <w:rFonts w:ascii="Arial" w:eastAsia="Times New Roman" w:hAnsi="Arial" w:cs="Arial"/>
          <w:sz w:val="24"/>
          <w:szCs w:val="24"/>
          <w:lang w:val="af-ZA"/>
        </w:rPr>
        <w:t>First Plaintiff</w:t>
      </w:r>
    </w:p>
    <w:p w14:paraId="7519C689" w14:textId="77777777" w:rsidR="004D77C7" w:rsidRDefault="004D77C7" w:rsidP="004D77C7">
      <w:pPr>
        <w:tabs>
          <w:tab w:val="right" w:pos="9480"/>
        </w:tabs>
        <w:spacing w:after="0"/>
        <w:jc w:val="both"/>
        <w:rPr>
          <w:rFonts w:ascii="Arial" w:eastAsia="Times New Roman" w:hAnsi="Arial" w:cs="Arial"/>
          <w:b/>
          <w:sz w:val="24"/>
          <w:szCs w:val="24"/>
          <w:lang w:val="af-ZA"/>
        </w:rPr>
      </w:pPr>
    </w:p>
    <w:p w14:paraId="78E270B9" w14:textId="77777777" w:rsidR="004D77C7" w:rsidRDefault="008671A8" w:rsidP="004D77C7">
      <w:pPr>
        <w:tabs>
          <w:tab w:val="right" w:pos="9480"/>
        </w:tabs>
        <w:spacing w:after="0"/>
        <w:jc w:val="both"/>
        <w:rPr>
          <w:rFonts w:ascii="Arial" w:eastAsia="Times New Roman" w:hAnsi="Arial" w:cs="Arial"/>
          <w:sz w:val="24"/>
          <w:szCs w:val="24"/>
          <w:lang w:val="af-ZA"/>
        </w:rPr>
      </w:pPr>
      <w:r w:rsidRPr="00C74762">
        <w:rPr>
          <w:rFonts w:ascii="Arial" w:eastAsia="Times New Roman" w:hAnsi="Arial" w:cs="Arial"/>
          <w:b/>
          <w:sz w:val="24"/>
          <w:szCs w:val="24"/>
          <w:lang w:val="af-ZA"/>
        </w:rPr>
        <w:t>NTOMBIZODWA</w:t>
      </w:r>
      <w:r>
        <w:rPr>
          <w:rFonts w:ascii="Arial" w:eastAsia="Times New Roman" w:hAnsi="Arial" w:cs="Arial"/>
          <w:b/>
          <w:sz w:val="24"/>
          <w:szCs w:val="24"/>
          <w:lang w:val="af-ZA"/>
        </w:rPr>
        <w:t xml:space="preserve"> JENNETE VAROYI</w:t>
      </w:r>
      <w:r w:rsidR="004D77C7">
        <w:rPr>
          <w:rFonts w:ascii="Arial" w:eastAsia="Times New Roman" w:hAnsi="Arial" w:cs="Arial"/>
          <w:b/>
          <w:sz w:val="24"/>
          <w:szCs w:val="24"/>
          <w:lang w:val="af-ZA"/>
        </w:rPr>
        <w:tab/>
        <w:t xml:space="preserve">        </w:t>
      </w:r>
      <w:r>
        <w:rPr>
          <w:rFonts w:ascii="Arial" w:eastAsia="Times New Roman" w:hAnsi="Arial" w:cs="Arial"/>
          <w:sz w:val="24"/>
          <w:szCs w:val="24"/>
          <w:lang w:val="af-ZA"/>
        </w:rPr>
        <w:t>Second Plaintiff</w:t>
      </w:r>
    </w:p>
    <w:p w14:paraId="220B6C42" w14:textId="77777777" w:rsidR="008671A8" w:rsidRDefault="008671A8" w:rsidP="004D77C7">
      <w:pPr>
        <w:tabs>
          <w:tab w:val="right" w:pos="9480"/>
        </w:tabs>
        <w:spacing w:after="0"/>
        <w:jc w:val="both"/>
        <w:rPr>
          <w:rFonts w:ascii="Arial" w:eastAsia="Times New Roman" w:hAnsi="Arial" w:cs="Arial"/>
          <w:b/>
          <w:sz w:val="24"/>
          <w:szCs w:val="24"/>
          <w:lang w:val="af-ZA"/>
        </w:rPr>
      </w:pPr>
    </w:p>
    <w:p w14:paraId="2B44EDFA" w14:textId="77777777" w:rsidR="004D77C7" w:rsidRDefault="008671A8" w:rsidP="004D77C7">
      <w:pPr>
        <w:tabs>
          <w:tab w:val="right" w:pos="9480"/>
        </w:tabs>
        <w:spacing w:after="0"/>
        <w:jc w:val="both"/>
        <w:rPr>
          <w:rFonts w:ascii="Arial" w:eastAsia="Times New Roman" w:hAnsi="Arial" w:cs="Arial"/>
          <w:sz w:val="24"/>
          <w:szCs w:val="24"/>
          <w:lang w:val="af-ZA"/>
        </w:rPr>
      </w:pPr>
      <w:r>
        <w:rPr>
          <w:rFonts w:ascii="Arial" w:eastAsia="Times New Roman" w:hAnsi="Arial" w:cs="Arial"/>
          <w:b/>
          <w:sz w:val="24"/>
          <w:szCs w:val="24"/>
          <w:lang w:val="af-ZA"/>
        </w:rPr>
        <w:t>TSHEPHISO JAMES TEKETE</w:t>
      </w:r>
      <w:r w:rsidR="004D77C7">
        <w:rPr>
          <w:rFonts w:ascii="Arial" w:eastAsia="Times New Roman" w:hAnsi="Arial" w:cs="Arial"/>
          <w:b/>
          <w:sz w:val="24"/>
          <w:szCs w:val="24"/>
          <w:lang w:val="af-ZA"/>
        </w:rPr>
        <w:tab/>
        <w:t xml:space="preserve">        </w:t>
      </w:r>
      <w:r>
        <w:rPr>
          <w:rFonts w:ascii="Arial" w:eastAsia="Times New Roman" w:hAnsi="Arial" w:cs="Arial"/>
          <w:sz w:val="24"/>
          <w:szCs w:val="24"/>
          <w:lang w:val="af-ZA"/>
        </w:rPr>
        <w:t>Third Plaintiff</w:t>
      </w:r>
    </w:p>
    <w:p w14:paraId="0E6A6D09" w14:textId="77777777" w:rsidR="004D77C7" w:rsidRDefault="004D77C7" w:rsidP="004D77C7">
      <w:pPr>
        <w:spacing w:after="0"/>
        <w:jc w:val="both"/>
        <w:rPr>
          <w:rFonts w:ascii="Arial" w:eastAsia="Times New Roman" w:hAnsi="Arial" w:cs="Arial"/>
          <w:sz w:val="24"/>
          <w:szCs w:val="24"/>
          <w:lang w:val="af-ZA"/>
        </w:rPr>
      </w:pPr>
    </w:p>
    <w:p w14:paraId="23E5A440" w14:textId="77777777" w:rsidR="004D77C7" w:rsidRDefault="004D77C7" w:rsidP="004D77C7">
      <w:pPr>
        <w:spacing w:after="0"/>
        <w:jc w:val="both"/>
        <w:rPr>
          <w:rFonts w:ascii="Arial" w:eastAsia="Times New Roman" w:hAnsi="Arial" w:cs="Arial"/>
          <w:sz w:val="24"/>
          <w:szCs w:val="24"/>
          <w:lang w:val="af-ZA"/>
        </w:rPr>
      </w:pPr>
      <w:r>
        <w:rPr>
          <w:rFonts w:ascii="Arial" w:eastAsia="Times New Roman" w:hAnsi="Arial" w:cs="Arial"/>
          <w:sz w:val="24"/>
          <w:szCs w:val="24"/>
          <w:lang w:val="af-ZA"/>
        </w:rPr>
        <w:t>and</w:t>
      </w:r>
    </w:p>
    <w:p w14:paraId="3BDAE4A5" w14:textId="77777777" w:rsidR="004D77C7" w:rsidRDefault="004D77C7" w:rsidP="004D77C7">
      <w:pPr>
        <w:tabs>
          <w:tab w:val="right" w:pos="9480"/>
        </w:tabs>
        <w:spacing w:after="0"/>
        <w:jc w:val="both"/>
        <w:rPr>
          <w:rFonts w:ascii="Arial" w:eastAsia="Times New Roman" w:hAnsi="Arial" w:cs="Arial"/>
          <w:b/>
          <w:sz w:val="24"/>
          <w:szCs w:val="24"/>
          <w:lang w:val="af-ZA"/>
        </w:rPr>
      </w:pPr>
    </w:p>
    <w:p w14:paraId="57826D06" w14:textId="77777777" w:rsidR="004D77C7" w:rsidRDefault="008671A8" w:rsidP="004D77C7">
      <w:pPr>
        <w:tabs>
          <w:tab w:val="right" w:pos="9480"/>
        </w:tabs>
        <w:spacing w:after="0"/>
        <w:jc w:val="both"/>
        <w:rPr>
          <w:rFonts w:ascii="Arial" w:eastAsia="Times New Roman" w:hAnsi="Arial" w:cs="Arial"/>
          <w:sz w:val="24"/>
          <w:szCs w:val="24"/>
          <w:lang w:val="af-ZA"/>
        </w:rPr>
      </w:pPr>
      <w:r>
        <w:rPr>
          <w:rFonts w:ascii="Arial" w:eastAsia="Times New Roman" w:hAnsi="Arial" w:cs="Arial"/>
          <w:b/>
          <w:sz w:val="24"/>
          <w:szCs w:val="24"/>
          <w:lang w:val="af-ZA"/>
        </w:rPr>
        <w:t>MINISTER OF SAFETY AND SECURITY</w:t>
      </w:r>
      <w:r w:rsidR="004D77C7">
        <w:rPr>
          <w:rFonts w:ascii="Arial" w:eastAsia="Times New Roman" w:hAnsi="Arial" w:cs="Arial"/>
          <w:b/>
          <w:sz w:val="24"/>
          <w:szCs w:val="24"/>
          <w:lang w:val="af-ZA"/>
        </w:rPr>
        <w:tab/>
        <w:t xml:space="preserve">        </w:t>
      </w:r>
      <w:r>
        <w:rPr>
          <w:rFonts w:ascii="Arial" w:eastAsia="Times New Roman" w:hAnsi="Arial" w:cs="Arial"/>
          <w:sz w:val="24"/>
          <w:szCs w:val="24"/>
          <w:lang w:val="af-ZA"/>
        </w:rPr>
        <w:t>Defendant</w:t>
      </w:r>
    </w:p>
    <w:p w14:paraId="419D6C47" w14:textId="77777777" w:rsidR="004D77C7" w:rsidRDefault="004D77C7" w:rsidP="004D77C7">
      <w:pPr>
        <w:tabs>
          <w:tab w:val="right" w:pos="9480"/>
        </w:tabs>
        <w:spacing w:after="0"/>
        <w:jc w:val="both"/>
        <w:rPr>
          <w:rFonts w:ascii="Arial" w:eastAsia="Times New Roman" w:hAnsi="Arial" w:cs="Arial"/>
          <w:sz w:val="24"/>
          <w:szCs w:val="24"/>
          <w:lang w:val="af-ZA"/>
        </w:rPr>
      </w:pPr>
    </w:p>
    <w:p w14:paraId="4F4FA540" w14:textId="77777777" w:rsidR="004D77C7" w:rsidRDefault="004D77C7" w:rsidP="004D77C7">
      <w:pPr>
        <w:spacing w:after="0" w:line="240" w:lineRule="auto"/>
        <w:rPr>
          <w:rFonts w:ascii="Century Gothic" w:eastAsia="Times New Roman" w:hAnsi="Century Gothic" w:cs="Times New Roman"/>
          <w:sz w:val="28"/>
          <w:szCs w:val="28"/>
          <w:lang w:val="af-ZA"/>
        </w:rPr>
      </w:pPr>
    </w:p>
    <w:p w14:paraId="3D8370B3" w14:textId="77777777" w:rsidR="004D77C7" w:rsidRDefault="004D77C7" w:rsidP="004D77C7">
      <w:pPr>
        <w:pBdr>
          <w:top w:val="single" w:sz="4" w:space="1" w:color="auto"/>
          <w:left w:val="single" w:sz="4" w:space="4" w:color="auto"/>
          <w:bottom w:val="single" w:sz="4" w:space="0" w:color="auto"/>
          <w:right w:val="single" w:sz="4" w:space="4" w:color="auto"/>
        </w:pBdr>
        <w:spacing w:after="0" w:line="240" w:lineRule="auto"/>
        <w:rPr>
          <w:rFonts w:ascii="Century Gothic" w:eastAsia="Times New Roman" w:hAnsi="Century Gothic" w:cs="Times New Roman"/>
          <w:b/>
          <w:sz w:val="36"/>
          <w:szCs w:val="36"/>
          <w:lang w:val="af-ZA"/>
        </w:rPr>
      </w:pPr>
      <w:r>
        <w:rPr>
          <w:rFonts w:ascii="Century Gothic" w:eastAsia="Times New Roman" w:hAnsi="Century Gothic" w:cs="Times New Roman"/>
          <w:b/>
          <w:sz w:val="36"/>
          <w:szCs w:val="36"/>
          <w:lang w:val="af-ZA"/>
        </w:rPr>
        <w:t xml:space="preserve">                          </w:t>
      </w:r>
    </w:p>
    <w:p w14:paraId="768764CE" w14:textId="77777777" w:rsidR="004D77C7" w:rsidRPr="00F24911" w:rsidRDefault="00B52BCE" w:rsidP="004D77C7">
      <w:pPr>
        <w:pBdr>
          <w:top w:val="single" w:sz="4" w:space="1" w:color="auto"/>
          <w:left w:val="single" w:sz="4" w:space="4" w:color="auto"/>
          <w:bottom w:val="single" w:sz="4" w:space="0" w:color="auto"/>
          <w:right w:val="single" w:sz="4" w:space="4" w:color="auto"/>
        </w:pBdr>
        <w:spacing w:after="0" w:line="240" w:lineRule="auto"/>
        <w:jc w:val="center"/>
        <w:rPr>
          <w:rFonts w:ascii="Arial" w:eastAsia="Times New Roman" w:hAnsi="Arial" w:cs="Arial"/>
          <w:b/>
          <w:sz w:val="24"/>
          <w:szCs w:val="24"/>
          <w:lang w:val="af-ZA"/>
        </w:rPr>
      </w:pPr>
      <w:r>
        <w:rPr>
          <w:rFonts w:ascii="Arial" w:eastAsia="Times New Roman" w:hAnsi="Arial" w:cs="Arial"/>
          <w:b/>
          <w:sz w:val="24"/>
          <w:szCs w:val="24"/>
          <w:lang w:val="af-ZA"/>
        </w:rPr>
        <w:t xml:space="preserve">QUANTUM </w:t>
      </w:r>
      <w:r w:rsidR="004D77C7" w:rsidRPr="00F24911">
        <w:rPr>
          <w:rFonts w:ascii="Arial" w:eastAsia="Times New Roman" w:hAnsi="Arial" w:cs="Arial"/>
          <w:b/>
          <w:sz w:val="24"/>
          <w:szCs w:val="24"/>
          <w:lang w:val="af-ZA"/>
        </w:rPr>
        <w:t xml:space="preserve">JUDGMENT </w:t>
      </w:r>
    </w:p>
    <w:p w14:paraId="4333349D" w14:textId="77777777" w:rsidR="004D77C7" w:rsidRPr="00187A86" w:rsidRDefault="004D77C7" w:rsidP="004D77C7">
      <w:pPr>
        <w:pBdr>
          <w:top w:val="single" w:sz="4" w:space="1" w:color="auto"/>
          <w:left w:val="single" w:sz="4" w:space="4" w:color="auto"/>
          <w:bottom w:val="single" w:sz="4" w:space="0" w:color="auto"/>
          <w:right w:val="single" w:sz="4" w:space="4" w:color="auto"/>
        </w:pBdr>
        <w:spacing w:after="0" w:line="240" w:lineRule="auto"/>
        <w:rPr>
          <w:rFonts w:ascii="Arial" w:eastAsia="Times New Roman" w:hAnsi="Arial" w:cs="Arial"/>
          <w:sz w:val="32"/>
          <w:szCs w:val="32"/>
        </w:rPr>
      </w:pPr>
      <w:r>
        <w:rPr>
          <w:rFonts w:ascii="Arial" w:eastAsia="Times New Roman" w:hAnsi="Arial" w:cs="Arial"/>
          <w:sz w:val="32"/>
          <w:szCs w:val="32"/>
        </w:rPr>
        <w:t xml:space="preserve">      </w:t>
      </w:r>
      <w:r>
        <w:rPr>
          <w:rFonts w:ascii="Arial" w:eastAsia="Times New Roman" w:hAnsi="Arial" w:cs="Arial"/>
          <w:b/>
          <w:sz w:val="32"/>
          <w:szCs w:val="32"/>
        </w:rPr>
        <w:t xml:space="preserve">                             </w:t>
      </w:r>
    </w:p>
    <w:p w14:paraId="1E763597" w14:textId="77777777" w:rsidR="004D77C7" w:rsidRDefault="004D77C7" w:rsidP="004D77C7">
      <w:pPr>
        <w:rPr>
          <w:rFonts w:ascii="Arial" w:hAnsi="Arial" w:cs="Arial"/>
          <w:b/>
          <w:sz w:val="24"/>
          <w:szCs w:val="24"/>
        </w:rPr>
      </w:pPr>
    </w:p>
    <w:p w14:paraId="37F2B16E" w14:textId="77777777" w:rsidR="004D77C7" w:rsidRDefault="004D77C7" w:rsidP="00C96371">
      <w:pPr>
        <w:jc w:val="both"/>
        <w:rPr>
          <w:rFonts w:ascii="Arial" w:hAnsi="Arial" w:cs="Arial"/>
          <w:b/>
          <w:sz w:val="24"/>
          <w:szCs w:val="24"/>
        </w:rPr>
      </w:pPr>
      <w:r>
        <w:rPr>
          <w:rFonts w:ascii="Arial" w:hAnsi="Arial" w:cs="Arial"/>
          <w:b/>
          <w:sz w:val="24"/>
          <w:szCs w:val="24"/>
        </w:rPr>
        <w:t>Andrews AJ</w:t>
      </w:r>
    </w:p>
    <w:p w14:paraId="748D9F0D" w14:textId="77777777" w:rsidR="004D77C7" w:rsidRPr="001640D9" w:rsidRDefault="004D77C7" w:rsidP="00C96371">
      <w:pPr>
        <w:jc w:val="both"/>
        <w:rPr>
          <w:rFonts w:ascii="Arial" w:hAnsi="Arial" w:cs="Arial"/>
          <w:b/>
          <w:sz w:val="24"/>
          <w:szCs w:val="24"/>
        </w:rPr>
      </w:pPr>
      <w:r w:rsidRPr="001640D9">
        <w:rPr>
          <w:rFonts w:ascii="Arial" w:hAnsi="Arial" w:cs="Arial"/>
          <w:b/>
          <w:sz w:val="24"/>
          <w:szCs w:val="24"/>
        </w:rPr>
        <w:t>Introduction</w:t>
      </w:r>
    </w:p>
    <w:p w14:paraId="781BAA9C" w14:textId="367BE584" w:rsidR="00E007A3" w:rsidRPr="00685FB7" w:rsidRDefault="00685FB7" w:rsidP="00685FB7">
      <w:pPr>
        <w:tabs>
          <w:tab w:val="left" w:pos="567"/>
        </w:tabs>
        <w:spacing w:after="0" w:line="480" w:lineRule="auto"/>
        <w:jc w:val="both"/>
        <w:rPr>
          <w:rFonts w:ascii="Arial" w:hAnsi="Arial" w:cs="Arial"/>
          <w:b/>
          <w:sz w:val="24"/>
          <w:szCs w:val="24"/>
        </w:rPr>
      </w:pPr>
      <w:r w:rsidRPr="00056D92">
        <w:rPr>
          <w:rFonts w:ascii="Arial" w:hAnsi="Arial" w:cs="Arial"/>
          <w:sz w:val="24"/>
          <w:szCs w:val="24"/>
          <w:lang w:val="en-ZA"/>
        </w:rPr>
        <w:t xml:space="preserve">[1]     </w:t>
      </w:r>
      <w:r w:rsidRPr="00056D92">
        <w:rPr>
          <w:rFonts w:ascii="Arial" w:hAnsi="Arial" w:cs="Arial"/>
          <w:sz w:val="24"/>
          <w:szCs w:val="24"/>
          <w:lang w:val="en-ZA"/>
        </w:rPr>
        <w:tab/>
      </w:r>
      <w:r w:rsidR="002E19C9" w:rsidRPr="00685FB7">
        <w:rPr>
          <w:rFonts w:ascii="Arial" w:hAnsi="Arial" w:cs="Arial"/>
          <w:sz w:val="24"/>
          <w:szCs w:val="24"/>
        </w:rPr>
        <w:t xml:space="preserve">The Plaintiffs instituted action against the Defendant </w:t>
      </w:r>
      <w:r w:rsidR="00F42386" w:rsidRPr="00685FB7">
        <w:rPr>
          <w:rFonts w:ascii="Arial" w:hAnsi="Arial" w:cs="Arial"/>
          <w:sz w:val="24"/>
          <w:szCs w:val="24"/>
        </w:rPr>
        <w:t xml:space="preserve">for damages arising out of </w:t>
      </w:r>
      <w:r w:rsidR="002E19C9" w:rsidRPr="00685FB7">
        <w:rPr>
          <w:rFonts w:ascii="Arial" w:hAnsi="Arial" w:cs="Arial"/>
          <w:sz w:val="24"/>
          <w:szCs w:val="24"/>
        </w:rPr>
        <w:t xml:space="preserve">a shooting incident which occurred on 2 October 2005 in Khayelitsha, Cape Town, Western Cape when Mr Johannes </w:t>
      </w:r>
      <w:r w:rsidR="006859C0" w:rsidRPr="00685FB7">
        <w:rPr>
          <w:rFonts w:ascii="Arial" w:hAnsi="Arial" w:cs="Arial"/>
          <w:sz w:val="24"/>
          <w:szCs w:val="24"/>
        </w:rPr>
        <w:t>Tekete</w:t>
      </w:r>
      <w:r w:rsidR="002E19C9" w:rsidRPr="00685FB7">
        <w:rPr>
          <w:rFonts w:ascii="Arial" w:hAnsi="Arial" w:cs="Arial"/>
          <w:sz w:val="24"/>
          <w:szCs w:val="24"/>
        </w:rPr>
        <w:t xml:space="preserve"> (“the deceased”), was shot by a member of the South African Police Service and who later died on 31 December 2005 as a consequence of his injuries. </w:t>
      </w:r>
      <w:r w:rsidR="005B17FF" w:rsidRPr="00685FB7">
        <w:rPr>
          <w:rFonts w:ascii="Arial" w:hAnsi="Arial" w:cs="Arial"/>
          <w:sz w:val="24"/>
          <w:szCs w:val="24"/>
        </w:rPr>
        <w:t xml:space="preserve">The deceased, at the date of his death, was married in </w:t>
      </w:r>
      <w:r w:rsidR="005B17FF" w:rsidRPr="00685FB7">
        <w:rPr>
          <w:rFonts w:ascii="Arial" w:hAnsi="Arial" w:cs="Arial"/>
          <w:sz w:val="24"/>
          <w:szCs w:val="24"/>
        </w:rPr>
        <w:lastRenderedPageBreak/>
        <w:t>community of property to the First Plaintiff and was the father of the Second and Third Plaintiffs.</w:t>
      </w:r>
      <w:r w:rsidR="00990C35" w:rsidRPr="00685FB7">
        <w:rPr>
          <w:rFonts w:ascii="Arial" w:hAnsi="Arial" w:cs="Arial"/>
          <w:sz w:val="24"/>
          <w:szCs w:val="24"/>
        </w:rPr>
        <w:t xml:space="preserve"> </w:t>
      </w:r>
    </w:p>
    <w:p w14:paraId="586D0A4C" w14:textId="77777777" w:rsidR="00056D92" w:rsidRPr="00056D92" w:rsidRDefault="00056D92" w:rsidP="00056D92">
      <w:pPr>
        <w:pStyle w:val="ListParagraph"/>
        <w:spacing w:after="0" w:line="480" w:lineRule="auto"/>
        <w:ind w:left="0"/>
        <w:jc w:val="both"/>
        <w:rPr>
          <w:rFonts w:ascii="Arial" w:hAnsi="Arial" w:cs="Arial"/>
          <w:b/>
          <w:sz w:val="24"/>
          <w:szCs w:val="24"/>
        </w:rPr>
      </w:pPr>
    </w:p>
    <w:p w14:paraId="6A30E78A" w14:textId="44081784" w:rsidR="00563184" w:rsidRPr="00685FB7" w:rsidRDefault="00685FB7" w:rsidP="00685FB7">
      <w:pPr>
        <w:tabs>
          <w:tab w:val="left" w:pos="567"/>
        </w:tabs>
        <w:spacing w:line="480" w:lineRule="auto"/>
        <w:jc w:val="both"/>
        <w:rPr>
          <w:rFonts w:ascii="Arial" w:hAnsi="Arial" w:cs="Arial"/>
          <w:sz w:val="24"/>
          <w:szCs w:val="24"/>
        </w:rPr>
      </w:pPr>
      <w:r>
        <w:rPr>
          <w:rFonts w:ascii="Arial" w:hAnsi="Arial" w:cs="Arial"/>
          <w:sz w:val="24"/>
          <w:szCs w:val="24"/>
          <w:lang w:val="en-ZA"/>
        </w:rPr>
        <w:t xml:space="preserve">[2]     </w:t>
      </w:r>
      <w:r>
        <w:rPr>
          <w:rFonts w:ascii="Arial" w:hAnsi="Arial" w:cs="Arial"/>
          <w:sz w:val="24"/>
          <w:szCs w:val="24"/>
          <w:lang w:val="en-ZA"/>
        </w:rPr>
        <w:tab/>
      </w:r>
      <w:r w:rsidR="002E19C9" w:rsidRPr="00685FB7">
        <w:rPr>
          <w:rFonts w:ascii="Arial" w:hAnsi="Arial" w:cs="Arial"/>
          <w:sz w:val="24"/>
          <w:szCs w:val="24"/>
        </w:rPr>
        <w:t>Judgment on liability was</w:t>
      </w:r>
      <w:r w:rsidR="00F42386" w:rsidRPr="00685FB7">
        <w:rPr>
          <w:rFonts w:ascii="Arial" w:hAnsi="Arial" w:cs="Arial"/>
          <w:sz w:val="24"/>
          <w:szCs w:val="24"/>
        </w:rPr>
        <w:t xml:space="preserve"> handed down on 12 December 2019</w:t>
      </w:r>
      <w:r w:rsidR="00667F72" w:rsidRPr="00685FB7">
        <w:rPr>
          <w:rFonts w:ascii="Arial" w:hAnsi="Arial" w:cs="Arial"/>
          <w:sz w:val="24"/>
          <w:szCs w:val="24"/>
        </w:rPr>
        <w:t xml:space="preserve"> where</w:t>
      </w:r>
      <w:r w:rsidR="00563184" w:rsidRPr="00685FB7">
        <w:rPr>
          <w:rFonts w:ascii="Arial" w:hAnsi="Arial" w:cs="Arial"/>
          <w:sz w:val="24"/>
          <w:szCs w:val="24"/>
        </w:rPr>
        <w:t xml:space="preserve"> Samela J</w:t>
      </w:r>
      <w:r w:rsidR="00026C30" w:rsidRPr="00685FB7">
        <w:rPr>
          <w:rFonts w:ascii="Arial" w:hAnsi="Arial" w:cs="Arial"/>
          <w:sz w:val="24"/>
          <w:szCs w:val="24"/>
        </w:rPr>
        <w:t>,</w:t>
      </w:r>
      <w:r w:rsidR="00563184" w:rsidRPr="00685FB7">
        <w:rPr>
          <w:rFonts w:ascii="Arial" w:hAnsi="Arial" w:cs="Arial"/>
          <w:sz w:val="24"/>
          <w:szCs w:val="24"/>
        </w:rPr>
        <w:t xml:space="preserve"> found the Defendant to be liable to the Plaintiffs f</w:t>
      </w:r>
      <w:r w:rsidR="007367B6" w:rsidRPr="00685FB7">
        <w:rPr>
          <w:rFonts w:ascii="Arial" w:hAnsi="Arial" w:cs="Arial"/>
          <w:sz w:val="24"/>
          <w:szCs w:val="24"/>
        </w:rPr>
        <w:t>or loss of support as a consequence of</w:t>
      </w:r>
      <w:r w:rsidR="00563184" w:rsidRPr="00685FB7">
        <w:rPr>
          <w:rFonts w:ascii="Arial" w:hAnsi="Arial" w:cs="Arial"/>
          <w:sz w:val="24"/>
          <w:szCs w:val="24"/>
        </w:rPr>
        <w:t xml:space="preserve"> the shooting of the deceased, by a member of the South African Police Service at Site C, Khayelitsha</w:t>
      </w:r>
      <w:r w:rsidR="00750A2B" w:rsidRPr="00685FB7">
        <w:rPr>
          <w:rFonts w:ascii="Arial" w:hAnsi="Arial" w:cs="Arial"/>
          <w:sz w:val="24"/>
          <w:szCs w:val="24"/>
        </w:rPr>
        <w:t xml:space="preserve">. </w:t>
      </w:r>
    </w:p>
    <w:p w14:paraId="712F827B" w14:textId="77777777" w:rsidR="00A72188" w:rsidRPr="003B6F6F" w:rsidRDefault="00A72188" w:rsidP="003B6F6F">
      <w:pPr>
        <w:rPr>
          <w:rFonts w:ascii="Arial" w:hAnsi="Arial" w:cs="Arial"/>
          <w:sz w:val="24"/>
          <w:szCs w:val="24"/>
        </w:rPr>
      </w:pPr>
    </w:p>
    <w:p w14:paraId="46AD915C" w14:textId="125BE250" w:rsidR="00990C35" w:rsidRPr="00685FB7" w:rsidRDefault="00685FB7" w:rsidP="00685FB7">
      <w:pPr>
        <w:tabs>
          <w:tab w:val="left" w:pos="567"/>
        </w:tabs>
        <w:spacing w:after="0" w:line="480" w:lineRule="auto"/>
        <w:jc w:val="both"/>
        <w:rPr>
          <w:rFonts w:ascii="Arial" w:hAnsi="Arial" w:cs="Arial"/>
          <w:b/>
          <w:sz w:val="24"/>
          <w:szCs w:val="24"/>
        </w:rPr>
      </w:pPr>
      <w:r w:rsidRPr="0025463B">
        <w:rPr>
          <w:rFonts w:ascii="Arial" w:hAnsi="Arial" w:cs="Arial"/>
          <w:sz w:val="24"/>
          <w:szCs w:val="24"/>
          <w:lang w:val="en-ZA"/>
        </w:rPr>
        <w:t xml:space="preserve">[3]     </w:t>
      </w:r>
      <w:r w:rsidRPr="0025463B">
        <w:rPr>
          <w:rFonts w:ascii="Arial" w:hAnsi="Arial" w:cs="Arial"/>
          <w:sz w:val="24"/>
          <w:szCs w:val="24"/>
          <w:lang w:val="en-ZA"/>
        </w:rPr>
        <w:tab/>
      </w:r>
      <w:r w:rsidR="00F42386" w:rsidRPr="00685FB7">
        <w:rPr>
          <w:rFonts w:ascii="Arial" w:hAnsi="Arial" w:cs="Arial"/>
          <w:sz w:val="24"/>
          <w:szCs w:val="24"/>
        </w:rPr>
        <w:t xml:space="preserve">The </w:t>
      </w:r>
      <w:r w:rsidR="006A2962" w:rsidRPr="00685FB7">
        <w:rPr>
          <w:rFonts w:ascii="Arial" w:hAnsi="Arial" w:cs="Arial"/>
          <w:sz w:val="24"/>
          <w:szCs w:val="24"/>
        </w:rPr>
        <w:t>matter proceed</w:t>
      </w:r>
      <w:r w:rsidR="00A72188" w:rsidRPr="00685FB7">
        <w:rPr>
          <w:rFonts w:ascii="Arial" w:hAnsi="Arial" w:cs="Arial"/>
          <w:sz w:val="24"/>
          <w:szCs w:val="24"/>
        </w:rPr>
        <w:t xml:space="preserve">ed before this Court </w:t>
      </w:r>
      <w:r w:rsidR="006A2962" w:rsidRPr="00685FB7">
        <w:rPr>
          <w:rFonts w:ascii="Arial" w:hAnsi="Arial" w:cs="Arial"/>
          <w:sz w:val="24"/>
          <w:szCs w:val="24"/>
        </w:rPr>
        <w:t>for the determination of quantum</w:t>
      </w:r>
      <w:r w:rsidR="00990C35" w:rsidRPr="00685FB7">
        <w:rPr>
          <w:rFonts w:ascii="Arial" w:hAnsi="Arial" w:cs="Arial"/>
          <w:sz w:val="24"/>
          <w:szCs w:val="24"/>
        </w:rPr>
        <w:t>.</w:t>
      </w:r>
      <w:r w:rsidR="00750A2B" w:rsidRPr="00685FB7">
        <w:rPr>
          <w:rFonts w:ascii="Arial" w:hAnsi="Arial" w:cs="Arial"/>
          <w:sz w:val="24"/>
          <w:szCs w:val="24"/>
        </w:rPr>
        <w:t xml:space="preserve"> </w:t>
      </w:r>
      <w:r w:rsidR="0025463B" w:rsidRPr="00685FB7">
        <w:rPr>
          <w:rFonts w:ascii="Arial" w:hAnsi="Arial" w:cs="Arial"/>
          <w:sz w:val="24"/>
          <w:szCs w:val="24"/>
        </w:rPr>
        <w:t>The crisp issue for determination was essentially the amount of damages, more particularly in relation to loss of support, the Defendant is liable to pay to the Plaintiffs. There is no dispute regarding the actual loss in respect of the claim for funeral expenses.</w:t>
      </w:r>
      <w:r w:rsidR="0025463B" w:rsidRPr="00685FB7">
        <w:rPr>
          <w:rFonts w:ascii="Arial" w:hAnsi="Arial" w:cs="Arial"/>
          <w:b/>
          <w:sz w:val="24"/>
          <w:szCs w:val="24"/>
        </w:rPr>
        <w:t xml:space="preserve"> </w:t>
      </w:r>
      <w:r w:rsidR="00750A2B" w:rsidRPr="00685FB7">
        <w:rPr>
          <w:rFonts w:ascii="Arial" w:hAnsi="Arial" w:cs="Arial"/>
          <w:sz w:val="24"/>
          <w:szCs w:val="24"/>
        </w:rPr>
        <w:t>After considering the evidence on quantum, the court handed down the following order</w:t>
      </w:r>
      <w:r w:rsidR="004D0614" w:rsidRPr="00685FB7">
        <w:rPr>
          <w:rFonts w:ascii="Arial" w:hAnsi="Arial" w:cs="Arial"/>
          <w:sz w:val="24"/>
          <w:szCs w:val="24"/>
        </w:rPr>
        <w:t xml:space="preserve"> on 7 May 2024</w:t>
      </w:r>
      <w:r w:rsidR="00750A2B" w:rsidRPr="00685FB7">
        <w:rPr>
          <w:rFonts w:ascii="Arial" w:hAnsi="Arial" w:cs="Arial"/>
          <w:sz w:val="24"/>
          <w:szCs w:val="24"/>
        </w:rPr>
        <w:t>:</w:t>
      </w:r>
    </w:p>
    <w:p w14:paraId="0BAE46D3" w14:textId="77777777" w:rsidR="00750A2B" w:rsidRPr="00750A2B" w:rsidRDefault="00750A2B" w:rsidP="00750A2B">
      <w:pPr>
        <w:pStyle w:val="ListParagraph"/>
        <w:rPr>
          <w:rFonts w:ascii="Arial" w:hAnsi="Arial" w:cs="Arial"/>
          <w:sz w:val="24"/>
          <w:szCs w:val="24"/>
        </w:rPr>
      </w:pPr>
    </w:p>
    <w:p w14:paraId="37DFBC4F" w14:textId="77777777" w:rsidR="00750A2B" w:rsidRPr="00750A2B" w:rsidRDefault="00750A2B" w:rsidP="00750A2B">
      <w:pPr>
        <w:pStyle w:val="ListParagraph"/>
        <w:spacing w:line="480" w:lineRule="auto"/>
        <w:ind w:left="0" w:firstLine="720"/>
        <w:jc w:val="both"/>
        <w:rPr>
          <w:i/>
        </w:rPr>
      </w:pPr>
      <w:r w:rsidRPr="00750A2B">
        <w:rPr>
          <w:rFonts w:ascii="Arial" w:hAnsi="Arial" w:cs="Arial"/>
          <w:i/>
          <w:sz w:val="24"/>
          <w:szCs w:val="24"/>
        </w:rPr>
        <w:t>‘In the result, the following order is made:</w:t>
      </w:r>
    </w:p>
    <w:p w14:paraId="1D47EA42" w14:textId="25E7D8DE" w:rsidR="00750A2B" w:rsidRPr="00685FB7" w:rsidRDefault="00685FB7" w:rsidP="00685FB7">
      <w:pPr>
        <w:spacing w:line="480" w:lineRule="auto"/>
        <w:ind w:left="1080" w:hanging="360"/>
        <w:jc w:val="both"/>
        <w:rPr>
          <w:rFonts w:ascii="Arial" w:hAnsi="Arial" w:cs="Arial"/>
          <w:i/>
          <w:sz w:val="24"/>
          <w:szCs w:val="24"/>
        </w:rPr>
      </w:pPr>
      <w:r w:rsidRPr="00750A2B">
        <w:rPr>
          <w:rFonts w:ascii="Arial" w:hAnsi="Arial" w:cs="Arial"/>
          <w:i/>
          <w:sz w:val="24"/>
          <w:szCs w:val="24"/>
          <w:lang w:val="en-ZA"/>
        </w:rPr>
        <w:t>1.</w:t>
      </w:r>
      <w:r w:rsidRPr="00750A2B">
        <w:rPr>
          <w:rFonts w:ascii="Arial" w:hAnsi="Arial" w:cs="Arial"/>
          <w:i/>
          <w:sz w:val="24"/>
          <w:szCs w:val="24"/>
          <w:lang w:val="en-ZA"/>
        </w:rPr>
        <w:tab/>
      </w:r>
      <w:r w:rsidR="00750A2B" w:rsidRPr="00685FB7">
        <w:rPr>
          <w:rFonts w:ascii="Arial" w:hAnsi="Arial" w:cs="Arial"/>
          <w:i/>
          <w:sz w:val="24"/>
          <w:szCs w:val="24"/>
        </w:rPr>
        <w:t>The matter is adjourned sine die;</w:t>
      </w:r>
    </w:p>
    <w:p w14:paraId="6AF2AB5C" w14:textId="070D4419" w:rsidR="00750A2B" w:rsidRPr="00685FB7" w:rsidRDefault="00685FB7" w:rsidP="00685FB7">
      <w:pPr>
        <w:spacing w:line="480" w:lineRule="auto"/>
        <w:ind w:left="1080" w:hanging="360"/>
        <w:jc w:val="both"/>
        <w:rPr>
          <w:rFonts w:ascii="Arial" w:hAnsi="Arial" w:cs="Arial"/>
          <w:i/>
          <w:sz w:val="24"/>
          <w:szCs w:val="24"/>
        </w:rPr>
      </w:pPr>
      <w:r w:rsidRPr="00750A2B">
        <w:rPr>
          <w:rFonts w:ascii="Arial" w:hAnsi="Arial" w:cs="Arial"/>
          <w:i/>
          <w:sz w:val="24"/>
          <w:szCs w:val="24"/>
          <w:lang w:val="en-ZA"/>
        </w:rPr>
        <w:t>2.</w:t>
      </w:r>
      <w:r w:rsidRPr="00750A2B">
        <w:rPr>
          <w:rFonts w:ascii="Arial" w:hAnsi="Arial" w:cs="Arial"/>
          <w:i/>
          <w:sz w:val="24"/>
          <w:szCs w:val="24"/>
          <w:lang w:val="en-ZA"/>
        </w:rPr>
        <w:tab/>
      </w:r>
      <w:r w:rsidR="00750A2B" w:rsidRPr="00685FB7">
        <w:rPr>
          <w:rFonts w:ascii="Arial" w:hAnsi="Arial" w:cs="Arial"/>
          <w:i/>
          <w:sz w:val="24"/>
          <w:szCs w:val="24"/>
        </w:rPr>
        <w:t>The Court directs the parties to instruct ARCH Actuarial Consulting CC to calculate the loss of support in respect of the First, Second and Third Plaintiffs on the following terms:</w:t>
      </w:r>
    </w:p>
    <w:p w14:paraId="7AA4C9E6" w14:textId="50A84610" w:rsidR="00750A2B" w:rsidRPr="00685FB7" w:rsidRDefault="00685FB7" w:rsidP="00685FB7">
      <w:pPr>
        <w:spacing w:line="480" w:lineRule="auto"/>
        <w:ind w:left="1440" w:hanging="360"/>
        <w:jc w:val="both"/>
        <w:rPr>
          <w:rFonts w:ascii="Arial" w:hAnsi="Arial" w:cs="Arial"/>
          <w:i/>
          <w:sz w:val="24"/>
          <w:szCs w:val="24"/>
        </w:rPr>
      </w:pPr>
      <w:r w:rsidRPr="00750A2B">
        <w:rPr>
          <w:rFonts w:ascii="Arial" w:hAnsi="Arial" w:cs="Arial"/>
          <w:i/>
          <w:sz w:val="24"/>
          <w:szCs w:val="24"/>
          <w:lang w:val="en-ZA"/>
        </w:rPr>
        <w:t>(a)</w:t>
      </w:r>
      <w:r w:rsidRPr="00750A2B">
        <w:rPr>
          <w:rFonts w:ascii="Arial" w:hAnsi="Arial" w:cs="Arial"/>
          <w:i/>
          <w:sz w:val="24"/>
          <w:szCs w:val="24"/>
          <w:lang w:val="en-ZA"/>
        </w:rPr>
        <w:tab/>
      </w:r>
      <w:r w:rsidR="00750A2B" w:rsidRPr="00685FB7">
        <w:rPr>
          <w:rFonts w:ascii="Arial" w:hAnsi="Arial" w:cs="Arial"/>
          <w:i/>
          <w:sz w:val="24"/>
          <w:szCs w:val="24"/>
        </w:rPr>
        <w:t>That the Plaintiffs were dependent on the deceased’s income at the time of his death on 31 December 2005;</w:t>
      </w:r>
    </w:p>
    <w:p w14:paraId="1EE288E6" w14:textId="24380A13" w:rsidR="00750A2B" w:rsidRPr="00685FB7" w:rsidRDefault="00685FB7" w:rsidP="00685FB7">
      <w:pPr>
        <w:spacing w:line="480" w:lineRule="auto"/>
        <w:ind w:left="1440" w:hanging="360"/>
        <w:jc w:val="both"/>
        <w:rPr>
          <w:rFonts w:ascii="Arial" w:hAnsi="Arial" w:cs="Arial"/>
          <w:i/>
          <w:sz w:val="24"/>
          <w:szCs w:val="24"/>
        </w:rPr>
      </w:pPr>
      <w:r w:rsidRPr="00750A2B">
        <w:rPr>
          <w:rFonts w:ascii="Arial" w:hAnsi="Arial" w:cs="Arial"/>
          <w:i/>
          <w:sz w:val="24"/>
          <w:szCs w:val="24"/>
          <w:lang w:val="en-ZA"/>
        </w:rPr>
        <w:t>(b)</w:t>
      </w:r>
      <w:r w:rsidRPr="00750A2B">
        <w:rPr>
          <w:rFonts w:ascii="Arial" w:hAnsi="Arial" w:cs="Arial"/>
          <w:i/>
          <w:sz w:val="24"/>
          <w:szCs w:val="24"/>
          <w:lang w:val="en-ZA"/>
        </w:rPr>
        <w:tab/>
      </w:r>
      <w:r w:rsidR="00750A2B" w:rsidRPr="00685FB7">
        <w:rPr>
          <w:rFonts w:ascii="Arial" w:hAnsi="Arial" w:cs="Arial"/>
          <w:i/>
          <w:sz w:val="24"/>
          <w:szCs w:val="24"/>
        </w:rPr>
        <w:t>The Plaintiffs’ dates of birth are:</w:t>
      </w:r>
    </w:p>
    <w:p w14:paraId="73AA9B45" w14:textId="1DB27938" w:rsidR="00750A2B" w:rsidRPr="00685FB7" w:rsidRDefault="00685FB7" w:rsidP="00685FB7">
      <w:pPr>
        <w:spacing w:line="360" w:lineRule="auto"/>
        <w:ind w:left="2160" w:hanging="720"/>
        <w:jc w:val="both"/>
        <w:rPr>
          <w:rFonts w:ascii="Arial" w:hAnsi="Arial" w:cs="Arial"/>
          <w:i/>
          <w:sz w:val="24"/>
          <w:szCs w:val="24"/>
        </w:rPr>
      </w:pPr>
      <w:r w:rsidRPr="00750A2B">
        <w:rPr>
          <w:rFonts w:ascii="Arial" w:hAnsi="Arial" w:cs="Arial"/>
          <w:i/>
          <w:sz w:val="24"/>
          <w:szCs w:val="24"/>
          <w:lang w:val="en-ZA"/>
        </w:rPr>
        <w:t>(i)</w:t>
      </w:r>
      <w:r w:rsidRPr="00750A2B">
        <w:rPr>
          <w:rFonts w:ascii="Arial" w:hAnsi="Arial" w:cs="Arial"/>
          <w:i/>
          <w:sz w:val="24"/>
          <w:szCs w:val="24"/>
          <w:lang w:val="en-ZA"/>
        </w:rPr>
        <w:tab/>
      </w:r>
      <w:r w:rsidR="00750A2B" w:rsidRPr="00685FB7">
        <w:rPr>
          <w:rFonts w:ascii="Arial" w:hAnsi="Arial" w:cs="Arial"/>
          <w:i/>
          <w:sz w:val="24"/>
          <w:szCs w:val="24"/>
        </w:rPr>
        <w:t>First Plaintiff:</w:t>
      </w:r>
      <w:r w:rsidR="00750A2B" w:rsidRPr="00685FB7">
        <w:rPr>
          <w:rFonts w:ascii="Arial" w:hAnsi="Arial" w:cs="Arial"/>
          <w:i/>
          <w:sz w:val="24"/>
          <w:szCs w:val="24"/>
        </w:rPr>
        <w:tab/>
      </w:r>
      <w:r w:rsidR="00750A2B" w:rsidRPr="00685FB7">
        <w:rPr>
          <w:rFonts w:ascii="Arial" w:hAnsi="Arial" w:cs="Arial"/>
          <w:i/>
          <w:sz w:val="24"/>
          <w:szCs w:val="24"/>
        </w:rPr>
        <w:tab/>
      </w:r>
      <w:r w:rsidR="00750A2B" w:rsidRPr="00685FB7">
        <w:rPr>
          <w:rFonts w:ascii="Arial" w:hAnsi="Arial" w:cs="Arial"/>
          <w:i/>
          <w:sz w:val="24"/>
          <w:szCs w:val="24"/>
        </w:rPr>
        <w:tab/>
        <w:t>29 April 1968;</w:t>
      </w:r>
    </w:p>
    <w:p w14:paraId="73139D59" w14:textId="3CF26999" w:rsidR="00750A2B" w:rsidRPr="00685FB7" w:rsidRDefault="00685FB7" w:rsidP="00685FB7">
      <w:pPr>
        <w:spacing w:line="360" w:lineRule="auto"/>
        <w:ind w:left="2160" w:hanging="720"/>
        <w:jc w:val="both"/>
        <w:rPr>
          <w:rFonts w:ascii="Arial" w:hAnsi="Arial" w:cs="Arial"/>
          <w:i/>
          <w:sz w:val="24"/>
          <w:szCs w:val="24"/>
        </w:rPr>
      </w:pPr>
      <w:r w:rsidRPr="00750A2B">
        <w:rPr>
          <w:rFonts w:ascii="Arial" w:hAnsi="Arial" w:cs="Arial"/>
          <w:i/>
          <w:sz w:val="24"/>
          <w:szCs w:val="24"/>
          <w:lang w:val="en-ZA"/>
        </w:rPr>
        <w:lastRenderedPageBreak/>
        <w:t>(ii)</w:t>
      </w:r>
      <w:r w:rsidRPr="00750A2B">
        <w:rPr>
          <w:rFonts w:ascii="Arial" w:hAnsi="Arial" w:cs="Arial"/>
          <w:i/>
          <w:sz w:val="24"/>
          <w:szCs w:val="24"/>
          <w:lang w:val="en-ZA"/>
        </w:rPr>
        <w:tab/>
      </w:r>
      <w:r w:rsidR="00750A2B" w:rsidRPr="00685FB7">
        <w:rPr>
          <w:rFonts w:ascii="Arial" w:hAnsi="Arial" w:cs="Arial"/>
          <w:i/>
          <w:sz w:val="24"/>
          <w:szCs w:val="24"/>
        </w:rPr>
        <w:t>Second Plaintiff:</w:t>
      </w:r>
      <w:r w:rsidR="00750A2B" w:rsidRPr="00685FB7">
        <w:rPr>
          <w:rFonts w:ascii="Arial" w:hAnsi="Arial" w:cs="Arial"/>
          <w:i/>
          <w:sz w:val="24"/>
          <w:szCs w:val="24"/>
        </w:rPr>
        <w:tab/>
      </w:r>
      <w:r w:rsidR="00750A2B" w:rsidRPr="00685FB7">
        <w:rPr>
          <w:rFonts w:ascii="Arial" w:hAnsi="Arial" w:cs="Arial"/>
          <w:i/>
          <w:sz w:val="24"/>
          <w:szCs w:val="24"/>
        </w:rPr>
        <w:tab/>
        <w:t>16 October 1995;</w:t>
      </w:r>
    </w:p>
    <w:p w14:paraId="52886621" w14:textId="481C9A4F" w:rsidR="00750A2B" w:rsidRPr="00685FB7" w:rsidRDefault="00685FB7" w:rsidP="00685FB7">
      <w:pPr>
        <w:spacing w:line="480" w:lineRule="auto"/>
        <w:ind w:left="2160" w:hanging="720"/>
        <w:jc w:val="both"/>
        <w:rPr>
          <w:rFonts w:ascii="Arial" w:hAnsi="Arial" w:cs="Arial"/>
          <w:i/>
          <w:sz w:val="24"/>
          <w:szCs w:val="24"/>
        </w:rPr>
      </w:pPr>
      <w:r w:rsidRPr="00750A2B">
        <w:rPr>
          <w:rFonts w:ascii="Arial" w:hAnsi="Arial" w:cs="Arial"/>
          <w:i/>
          <w:sz w:val="24"/>
          <w:szCs w:val="24"/>
          <w:lang w:val="en-ZA"/>
        </w:rPr>
        <w:t>(iii)</w:t>
      </w:r>
      <w:r w:rsidRPr="00750A2B">
        <w:rPr>
          <w:rFonts w:ascii="Arial" w:hAnsi="Arial" w:cs="Arial"/>
          <w:i/>
          <w:sz w:val="24"/>
          <w:szCs w:val="24"/>
          <w:lang w:val="en-ZA"/>
        </w:rPr>
        <w:tab/>
      </w:r>
      <w:r w:rsidR="00750A2B" w:rsidRPr="00685FB7">
        <w:rPr>
          <w:rFonts w:ascii="Arial" w:hAnsi="Arial" w:cs="Arial"/>
          <w:i/>
          <w:sz w:val="24"/>
          <w:szCs w:val="24"/>
        </w:rPr>
        <w:t>Third Plaintiff:</w:t>
      </w:r>
      <w:r w:rsidR="00750A2B" w:rsidRPr="00685FB7">
        <w:rPr>
          <w:rFonts w:ascii="Arial" w:hAnsi="Arial" w:cs="Arial"/>
          <w:i/>
          <w:sz w:val="24"/>
          <w:szCs w:val="24"/>
        </w:rPr>
        <w:tab/>
      </w:r>
      <w:r w:rsidR="00750A2B" w:rsidRPr="00685FB7">
        <w:rPr>
          <w:rFonts w:ascii="Arial" w:hAnsi="Arial" w:cs="Arial"/>
          <w:i/>
          <w:sz w:val="24"/>
          <w:szCs w:val="24"/>
        </w:rPr>
        <w:tab/>
        <w:t>23 May 2003.</w:t>
      </w:r>
    </w:p>
    <w:p w14:paraId="55C2D122" w14:textId="74FE31CD" w:rsidR="00750A2B" w:rsidRPr="00685FB7" w:rsidRDefault="00685FB7" w:rsidP="00685FB7">
      <w:pPr>
        <w:spacing w:line="480" w:lineRule="auto"/>
        <w:ind w:left="1440" w:hanging="360"/>
        <w:jc w:val="both"/>
        <w:rPr>
          <w:rFonts w:ascii="Arial" w:hAnsi="Arial" w:cs="Arial"/>
          <w:i/>
          <w:sz w:val="24"/>
          <w:szCs w:val="24"/>
        </w:rPr>
      </w:pPr>
      <w:r w:rsidRPr="00750A2B">
        <w:rPr>
          <w:rFonts w:ascii="Arial" w:hAnsi="Arial" w:cs="Arial"/>
          <w:i/>
          <w:sz w:val="24"/>
          <w:szCs w:val="24"/>
          <w:lang w:val="en-ZA"/>
        </w:rPr>
        <w:t>(c)</w:t>
      </w:r>
      <w:r w:rsidRPr="00750A2B">
        <w:rPr>
          <w:rFonts w:ascii="Arial" w:hAnsi="Arial" w:cs="Arial"/>
          <w:i/>
          <w:sz w:val="24"/>
          <w:szCs w:val="24"/>
          <w:lang w:val="en-ZA"/>
        </w:rPr>
        <w:tab/>
      </w:r>
      <w:r w:rsidR="00750A2B" w:rsidRPr="00685FB7">
        <w:rPr>
          <w:rFonts w:ascii="Arial" w:hAnsi="Arial" w:cs="Arial"/>
          <w:i/>
          <w:sz w:val="24"/>
          <w:szCs w:val="24"/>
        </w:rPr>
        <w:t>The deceased’s income and probable career path would have been as follows:</w:t>
      </w:r>
    </w:p>
    <w:p w14:paraId="2DDDFAB1" w14:textId="3A66E7D8" w:rsidR="00750A2B" w:rsidRPr="00685FB7" w:rsidRDefault="00685FB7" w:rsidP="00685FB7">
      <w:pPr>
        <w:spacing w:line="360" w:lineRule="auto"/>
        <w:ind w:left="2160" w:hanging="720"/>
        <w:jc w:val="both"/>
        <w:rPr>
          <w:rFonts w:ascii="Arial" w:hAnsi="Arial" w:cs="Arial"/>
          <w:i/>
          <w:sz w:val="24"/>
          <w:szCs w:val="24"/>
        </w:rPr>
      </w:pPr>
      <w:r w:rsidRPr="00750A2B">
        <w:rPr>
          <w:rFonts w:ascii="Arial" w:hAnsi="Arial" w:cs="Arial"/>
          <w:i/>
          <w:sz w:val="24"/>
          <w:szCs w:val="24"/>
          <w:lang w:val="en-ZA"/>
        </w:rPr>
        <w:t>(i)</w:t>
      </w:r>
      <w:r w:rsidRPr="00750A2B">
        <w:rPr>
          <w:rFonts w:ascii="Arial" w:hAnsi="Arial" w:cs="Arial"/>
          <w:i/>
          <w:sz w:val="24"/>
          <w:szCs w:val="24"/>
          <w:lang w:val="en-ZA"/>
        </w:rPr>
        <w:tab/>
      </w:r>
      <w:r w:rsidR="00750A2B" w:rsidRPr="00685FB7">
        <w:rPr>
          <w:rFonts w:ascii="Arial" w:hAnsi="Arial" w:cs="Arial"/>
          <w:i/>
          <w:sz w:val="24"/>
          <w:szCs w:val="24"/>
        </w:rPr>
        <w:t>The deceased would have earned R41 500 per annum as at 31 December 2005;</w:t>
      </w:r>
    </w:p>
    <w:p w14:paraId="37E71D03" w14:textId="0C9D55C9" w:rsidR="00750A2B" w:rsidRPr="00685FB7" w:rsidRDefault="00685FB7" w:rsidP="00685FB7">
      <w:pPr>
        <w:spacing w:line="360" w:lineRule="auto"/>
        <w:ind w:left="2160" w:hanging="720"/>
        <w:jc w:val="both"/>
        <w:rPr>
          <w:rFonts w:ascii="Arial" w:hAnsi="Arial" w:cs="Arial"/>
          <w:i/>
          <w:sz w:val="24"/>
          <w:szCs w:val="24"/>
        </w:rPr>
      </w:pPr>
      <w:r w:rsidRPr="00750A2B">
        <w:rPr>
          <w:rFonts w:ascii="Arial" w:hAnsi="Arial" w:cs="Arial"/>
          <w:i/>
          <w:sz w:val="24"/>
          <w:szCs w:val="24"/>
          <w:lang w:val="en-ZA"/>
        </w:rPr>
        <w:t>(ii)</w:t>
      </w:r>
      <w:r w:rsidRPr="00750A2B">
        <w:rPr>
          <w:rFonts w:ascii="Arial" w:hAnsi="Arial" w:cs="Arial"/>
          <w:i/>
          <w:sz w:val="24"/>
          <w:szCs w:val="24"/>
          <w:lang w:val="en-ZA"/>
        </w:rPr>
        <w:tab/>
      </w:r>
      <w:r w:rsidR="00750A2B" w:rsidRPr="00685FB7">
        <w:rPr>
          <w:rFonts w:ascii="Arial" w:hAnsi="Arial" w:cs="Arial"/>
          <w:i/>
          <w:sz w:val="24"/>
          <w:szCs w:val="24"/>
        </w:rPr>
        <w:t>The deceased’s income would have progressed to a current amount of R150 000 per annum as per the 2024 values;</w:t>
      </w:r>
    </w:p>
    <w:p w14:paraId="3850C538" w14:textId="7CFE1F07" w:rsidR="00750A2B" w:rsidRPr="00685FB7" w:rsidRDefault="00685FB7" w:rsidP="00685FB7">
      <w:pPr>
        <w:spacing w:line="360" w:lineRule="auto"/>
        <w:ind w:left="2160" w:hanging="720"/>
        <w:jc w:val="both"/>
        <w:rPr>
          <w:rFonts w:ascii="Arial" w:hAnsi="Arial" w:cs="Arial"/>
          <w:i/>
          <w:sz w:val="24"/>
          <w:szCs w:val="24"/>
        </w:rPr>
      </w:pPr>
      <w:r w:rsidRPr="00750A2B">
        <w:rPr>
          <w:rFonts w:ascii="Arial" w:hAnsi="Arial" w:cs="Arial"/>
          <w:i/>
          <w:sz w:val="24"/>
          <w:szCs w:val="24"/>
          <w:lang w:val="en-ZA"/>
        </w:rPr>
        <w:t>(iii)</w:t>
      </w:r>
      <w:r w:rsidRPr="00750A2B">
        <w:rPr>
          <w:rFonts w:ascii="Arial" w:hAnsi="Arial" w:cs="Arial"/>
          <w:i/>
          <w:sz w:val="24"/>
          <w:szCs w:val="24"/>
          <w:lang w:val="en-ZA"/>
        </w:rPr>
        <w:tab/>
      </w:r>
      <w:r w:rsidR="00750A2B" w:rsidRPr="00685FB7">
        <w:rPr>
          <w:rFonts w:ascii="Arial" w:hAnsi="Arial" w:cs="Arial"/>
          <w:i/>
          <w:sz w:val="24"/>
          <w:szCs w:val="24"/>
        </w:rPr>
        <w:t>The deceased’s income would have progressed to an income of R218 000 per annum as per the 2024 levels at the age of 45 years;</w:t>
      </w:r>
    </w:p>
    <w:p w14:paraId="0DAAD9FA" w14:textId="7B050522" w:rsidR="00750A2B" w:rsidRPr="00685FB7" w:rsidRDefault="00685FB7" w:rsidP="00685FB7">
      <w:pPr>
        <w:spacing w:line="360" w:lineRule="auto"/>
        <w:ind w:left="2160" w:hanging="720"/>
        <w:jc w:val="both"/>
        <w:rPr>
          <w:rFonts w:ascii="Arial" w:hAnsi="Arial" w:cs="Arial"/>
          <w:i/>
          <w:sz w:val="24"/>
          <w:szCs w:val="24"/>
        </w:rPr>
      </w:pPr>
      <w:r w:rsidRPr="00750A2B">
        <w:rPr>
          <w:rFonts w:ascii="Arial" w:hAnsi="Arial" w:cs="Arial"/>
          <w:i/>
          <w:sz w:val="24"/>
          <w:szCs w:val="24"/>
          <w:lang w:val="en-ZA"/>
        </w:rPr>
        <w:t>(iv)</w:t>
      </w:r>
      <w:r w:rsidRPr="00750A2B">
        <w:rPr>
          <w:rFonts w:ascii="Arial" w:hAnsi="Arial" w:cs="Arial"/>
          <w:i/>
          <w:sz w:val="24"/>
          <w:szCs w:val="24"/>
          <w:lang w:val="en-ZA"/>
        </w:rPr>
        <w:tab/>
      </w:r>
      <w:r w:rsidR="00750A2B" w:rsidRPr="00685FB7">
        <w:rPr>
          <w:rFonts w:ascii="Arial" w:hAnsi="Arial" w:cs="Arial"/>
          <w:i/>
          <w:sz w:val="24"/>
          <w:szCs w:val="24"/>
        </w:rPr>
        <w:t>Increases would have been coupled with earnings inflation;</w:t>
      </w:r>
    </w:p>
    <w:p w14:paraId="6E78FD1F" w14:textId="14E68A61" w:rsidR="00750A2B" w:rsidRPr="00685FB7" w:rsidRDefault="00685FB7" w:rsidP="00685FB7">
      <w:pPr>
        <w:spacing w:line="480" w:lineRule="auto"/>
        <w:ind w:left="2160" w:hanging="720"/>
        <w:jc w:val="both"/>
        <w:rPr>
          <w:rFonts w:ascii="Arial" w:hAnsi="Arial" w:cs="Arial"/>
          <w:i/>
          <w:sz w:val="24"/>
          <w:szCs w:val="24"/>
        </w:rPr>
      </w:pPr>
      <w:r w:rsidRPr="00750A2B">
        <w:rPr>
          <w:rFonts w:ascii="Arial" w:hAnsi="Arial" w:cs="Arial"/>
          <w:i/>
          <w:sz w:val="24"/>
          <w:szCs w:val="24"/>
          <w:lang w:val="en-ZA"/>
        </w:rPr>
        <w:t>(v)</w:t>
      </w:r>
      <w:r w:rsidRPr="00750A2B">
        <w:rPr>
          <w:rFonts w:ascii="Arial" w:hAnsi="Arial" w:cs="Arial"/>
          <w:i/>
          <w:sz w:val="24"/>
          <w:szCs w:val="24"/>
          <w:lang w:val="en-ZA"/>
        </w:rPr>
        <w:tab/>
      </w:r>
      <w:r w:rsidR="00750A2B" w:rsidRPr="00685FB7">
        <w:rPr>
          <w:rFonts w:ascii="Arial" w:hAnsi="Arial" w:cs="Arial"/>
          <w:i/>
          <w:sz w:val="24"/>
          <w:szCs w:val="24"/>
        </w:rPr>
        <w:t>The deceased would have retired at the age of 65 years.</w:t>
      </w:r>
    </w:p>
    <w:p w14:paraId="32937C08" w14:textId="49CE75C0" w:rsidR="00750A2B" w:rsidRPr="00685FB7" w:rsidRDefault="00685FB7" w:rsidP="00685FB7">
      <w:pPr>
        <w:spacing w:line="480" w:lineRule="auto"/>
        <w:ind w:left="1440" w:hanging="360"/>
        <w:jc w:val="both"/>
        <w:rPr>
          <w:rFonts w:ascii="Arial" w:hAnsi="Arial" w:cs="Arial"/>
          <w:i/>
          <w:sz w:val="24"/>
          <w:szCs w:val="24"/>
        </w:rPr>
      </w:pPr>
      <w:r w:rsidRPr="00750A2B">
        <w:rPr>
          <w:rFonts w:ascii="Arial" w:hAnsi="Arial" w:cs="Arial"/>
          <w:i/>
          <w:sz w:val="24"/>
          <w:szCs w:val="24"/>
          <w:lang w:val="en-ZA"/>
        </w:rPr>
        <w:t>(d)</w:t>
      </w:r>
      <w:r w:rsidRPr="00750A2B">
        <w:rPr>
          <w:rFonts w:ascii="Arial" w:hAnsi="Arial" w:cs="Arial"/>
          <w:i/>
          <w:sz w:val="24"/>
          <w:szCs w:val="24"/>
          <w:lang w:val="en-ZA"/>
        </w:rPr>
        <w:tab/>
      </w:r>
      <w:r w:rsidR="00750A2B" w:rsidRPr="00685FB7">
        <w:rPr>
          <w:rFonts w:ascii="Arial" w:hAnsi="Arial" w:cs="Arial"/>
          <w:i/>
          <w:sz w:val="24"/>
          <w:szCs w:val="24"/>
        </w:rPr>
        <w:t>The First Plaintiff’s income at the time of the deceased’s death is determined to be R1350 per month.</w:t>
      </w:r>
    </w:p>
    <w:p w14:paraId="5F0A1CCA" w14:textId="3A4A33BC" w:rsidR="00750A2B" w:rsidRPr="00685FB7" w:rsidRDefault="00685FB7" w:rsidP="00685FB7">
      <w:pPr>
        <w:spacing w:line="480" w:lineRule="auto"/>
        <w:ind w:left="1440" w:hanging="360"/>
        <w:jc w:val="both"/>
        <w:rPr>
          <w:rFonts w:ascii="Arial" w:hAnsi="Arial" w:cs="Arial"/>
          <w:i/>
          <w:sz w:val="24"/>
          <w:szCs w:val="24"/>
        </w:rPr>
      </w:pPr>
      <w:r w:rsidRPr="00750A2B">
        <w:rPr>
          <w:rFonts w:ascii="Arial" w:hAnsi="Arial" w:cs="Arial"/>
          <w:i/>
          <w:sz w:val="24"/>
          <w:szCs w:val="24"/>
          <w:lang w:val="en-ZA"/>
        </w:rPr>
        <w:t>(e)</w:t>
      </w:r>
      <w:r w:rsidRPr="00750A2B">
        <w:rPr>
          <w:rFonts w:ascii="Arial" w:hAnsi="Arial" w:cs="Arial"/>
          <w:i/>
          <w:sz w:val="24"/>
          <w:szCs w:val="24"/>
          <w:lang w:val="en-ZA"/>
        </w:rPr>
        <w:tab/>
      </w:r>
      <w:r w:rsidR="00750A2B" w:rsidRPr="00685FB7">
        <w:rPr>
          <w:rFonts w:ascii="Arial" w:hAnsi="Arial" w:cs="Arial"/>
          <w:i/>
          <w:sz w:val="24"/>
          <w:szCs w:val="24"/>
        </w:rPr>
        <w:t>The Second and Third Plaintiffs’ dependency age is determined to be 18</w:t>
      </w:r>
      <w:r w:rsidR="00750A2B" w:rsidRPr="00685FB7">
        <w:rPr>
          <w:rFonts w:ascii="Arial" w:hAnsi="Arial" w:cs="Arial"/>
          <w:i/>
          <w:sz w:val="24"/>
          <w:szCs w:val="24"/>
          <w:highlight w:val="yellow"/>
        </w:rPr>
        <w:t xml:space="preserve"> </w:t>
      </w:r>
      <w:r w:rsidR="00CC2E4C" w:rsidRPr="00685FB7">
        <w:rPr>
          <w:rFonts w:ascii="Arial" w:hAnsi="Arial" w:cs="Arial"/>
          <w:i/>
          <w:sz w:val="24"/>
          <w:szCs w:val="24"/>
        </w:rPr>
        <w:t>years</w:t>
      </w:r>
      <w:r w:rsidR="00200110" w:rsidRPr="00685FB7">
        <w:rPr>
          <w:rFonts w:ascii="Arial" w:hAnsi="Arial" w:cs="Arial"/>
          <w:i/>
          <w:sz w:val="24"/>
          <w:szCs w:val="24"/>
        </w:rPr>
        <w:t>.</w:t>
      </w:r>
    </w:p>
    <w:p w14:paraId="21FF6214" w14:textId="68071F7B" w:rsidR="00750A2B" w:rsidRPr="00685FB7" w:rsidRDefault="00685FB7" w:rsidP="00685FB7">
      <w:pPr>
        <w:spacing w:line="480" w:lineRule="auto"/>
        <w:ind w:left="1440" w:hanging="360"/>
        <w:jc w:val="both"/>
        <w:rPr>
          <w:rFonts w:ascii="Arial" w:hAnsi="Arial" w:cs="Arial"/>
          <w:i/>
          <w:sz w:val="24"/>
          <w:szCs w:val="24"/>
        </w:rPr>
      </w:pPr>
      <w:r w:rsidRPr="00750A2B">
        <w:rPr>
          <w:rFonts w:ascii="Arial" w:hAnsi="Arial" w:cs="Arial"/>
          <w:i/>
          <w:sz w:val="24"/>
          <w:szCs w:val="24"/>
          <w:lang w:val="en-ZA"/>
        </w:rPr>
        <w:t>(f)</w:t>
      </w:r>
      <w:r w:rsidRPr="00750A2B">
        <w:rPr>
          <w:rFonts w:ascii="Arial" w:hAnsi="Arial" w:cs="Arial"/>
          <w:i/>
          <w:sz w:val="24"/>
          <w:szCs w:val="24"/>
          <w:lang w:val="en-ZA"/>
        </w:rPr>
        <w:tab/>
      </w:r>
      <w:r w:rsidR="00750A2B" w:rsidRPr="00685FB7">
        <w:rPr>
          <w:rFonts w:ascii="Arial" w:hAnsi="Arial" w:cs="Arial"/>
          <w:i/>
          <w:sz w:val="24"/>
          <w:szCs w:val="24"/>
        </w:rPr>
        <w:t>General contingencies of 5% for past loss of support and 10% for future loss of support are to be applied</w:t>
      </w:r>
      <w:r w:rsidR="00200110" w:rsidRPr="00685FB7">
        <w:rPr>
          <w:rFonts w:ascii="Arial" w:hAnsi="Arial" w:cs="Arial"/>
          <w:i/>
          <w:sz w:val="24"/>
          <w:szCs w:val="24"/>
        </w:rPr>
        <w:t>.</w:t>
      </w:r>
    </w:p>
    <w:p w14:paraId="5D6253EF" w14:textId="1C5C4223" w:rsidR="00750A2B" w:rsidRPr="00685FB7" w:rsidRDefault="00685FB7" w:rsidP="00685FB7">
      <w:pPr>
        <w:spacing w:line="480" w:lineRule="auto"/>
        <w:ind w:left="1080" w:hanging="360"/>
        <w:jc w:val="both"/>
        <w:rPr>
          <w:rFonts w:ascii="Arial" w:hAnsi="Arial" w:cs="Arial"/>
          <w:i/>
          <w:sz w:val="24"/>
          <w:szCs w:val="24"/>
        </w:rPr>
      </w:pPr>
      <w:r w:rsidRPr="00750A2B">
        <w:rPr>
          <w:rFonts w:ascii="Arial" w:hAnsi="Arial" w:cs="Arial"/>
          <w:i/>
          <w:sz w:val="24"/>
          <w:szCs w:val="24"/>
          <w:lang w:val="en-ZA"/>
        </w:rPr>
        <w:t>3.</w:t>
      </w:r>
      <w:r w:rsidRPr="00750A2B">
        <w:rPr>
          <w:rFonts w:ascii="Arial" w:hAnsi="Arial" w:cs="Arial"/>
          <w:i/>
          <w:sz w:val="24"/>
          <w:szCs w:val="24"/>
          <w:lang w:val="en-ZA"/>
        </w:rPr>
        <w:tab/>
      </w:r>
      <w:r w:rsidR="00750A2B" w:rsidRPr="00685FB7">
        <w:rPr>
          <w:rFonts w:ascii="Arial" w:hAnsi="Arial" w:cs="Arial"/>
          <w:i/>
          <w:sz w:val="24"/>
          <w:szCs w:val="24"/>
        </w:rPr>
        <w:t>The matter is to be re-enrolled upon receipt of the actuarial report to deal with the remaining issues on quantum and costs</w:t>
      </w:r>
      <w:r w:rsidR="00200110" w:rsidRPr="00685FB7">
        <w:rPr>
          <w:rFonts w:ascii="Arial" w:hAnsi="Arial" w:cs="Arial"/>
          <w:i/>
          <w:sz w:val="24"/>
          <w:szCs w:val="24"/>
        </w:rPr>
        <w:t>.</w:t>
      </w:r>
    </w:p>
    <w:p w14:paraId="203ADA48" w14:textId="07D8179D" w:rsidR="00750A2B" w:rsidRPr="00685FB7" w:rsidRDefault="00685FB7" w:rsidP="00685FB7">
      <w:pPr>
        <w:spacing w:line="480" w:lineRule="auto"/>
        <w:ind w:left="1080" w:hanging="360"/>
        <w:jc w:val="both"/>
        <w:rPr>
          <w:rFonts w:ascii="Arial" w:hAnsi="Arial" w:cs="Arial"/>
          <w:i/>
          <w:sz w:val="24"/>
          <w:szCs w:val="24"/>
        </w:rPr>
      </w:pPr>
      <w:r w:rsidRPr="00750A2B">
        <w:rPr>
          <w:rFonts w:ascii="Arial" w:hAnsi="Arial" w:cs="Arial"/>
          <w:i/>
          <w:sz w:val="24"/>
          <w:szCs w:val="24"/>
          <w:lang w:val="en-ZA"/>
        </w:rPr>
        <w:t>4.</w:t>
      </w:r>
      <w:r w:rsidRPr="00750A2B">
        <w:rPr>
          <w:rFonts w:ascii="Arial" w:hAnsi="Arial" w:cs="Arial"/>
          <w:i/>
          <w:sz w:val="24"/>
          <w:szCs w:val="24"/>
          <w:lang w:val="en-ZA"/>
        </w:rPr>
        <w:tab/>
      </w:r>
      <w:r w:rsidR="00750A2B" w:rsidRPr="00685FB7">
        <w:rPr>
          <w:rFonts w:ascii="Arial" w:hAnsi="Arial" w:cs="Arial"/>
          <w:i/>
          <w:sz w:val="24"/>
          <w:szCs w:val="24"/>
        </w:rPr>
        <w:t>Costs are to stand over for later determination</w:t>
      </w:r>
      <w:r w:rsidR="00200110" w:rsidRPr="00685FB7">
        <w:rPr>
          <w:rFonts w:ascii="Arial" w:hAnsi="Arial" w:cs="Arial"/>
          <w:i/>
          <w:sz w:val="24"/>
          <w:szCs w:val="24"/>
        </w:rPr>
        <w:t>.</w:t>
      </w:r>
    </w:p>
    <w:p w14:paraId="0CD4C990" w14:textId="77777777" w:rsidR="00661C73" w:rsidRDefault="00661C73" w:rsidP="00C96371">
      <w:pPr>
        <w:pStyle w:val="ListParagraph"/>
        <w:spacing w:after="0" w:line="480" w:lineRule="auto"/>
        <w:ind w:left="0"/>
        <w:jc w:val="both"/>
        <w:rPr>
          <w:rFonts w:ascii="Arial" w:hAnsi="Arial" w:cs="Arial"/>
          <w:b/>
          <w:sz w:val="24"/>
          <w:szCs w:val="24"/>
        </w:rPr>
      </w:pPr>
    </w:p>
    <w:p w14:paraId="5A453EC6" w14:textId="77777777" w:rsidR="00750A2B" w:rsidRPr="00661C73" w:rsidRDefault="00DC0BF0" w:rsidP="00C96371">
      <w:pPr>
        <w:pStyle w:val="ListParagraph"/>
        <w:spacing w:after="0" w:line="480" w:lineRule="auto"/>
        <w:ind w:left="0"/>
        <w:jc w:val="both"/>
        <w:rPr>
          <w:rFonts w:ascii="Arial" w:hAnsi="Arial" w:cs="Arial"/>
          <w:b/>
          <w:sz w:val="24"/>
          <w:szCs w:val="24"/>
        </w:rPr>
      </w:pPr>
      <w:r>
        <w:rPr>
          <w:rFonts w:ascii="Arial" w:hAnsi="Arial" w:cs="Arial"/>
          <w:b/>
          <w:sz w:val="24"/>
          <w:szCs w:val="24"/>
        </w:rPr>
        <w:lastRenderedPageBreak/>
        <w:t>Actuarial Loss of Support Calculation</w:t>
      </w:r>
    </w:p>
    <w:p w14:paraId="2D862B3D" w14:textId="5D67FB93" w:rsidR="004E11CF" w:rsidRPr="00685FB7" w:rsidRDefault="00685FB7" w:rsidP="00685FB7">
      <w:pPr>
        <w:tabs>
          <w:tab w:val="left" w:pos="567"/>
        </w:tabs>
        <w:spacing w:after="0" w:line="480" w:lineRule="auto"/>
        <w:jc w:val="both"/>
        <w:rPr>
          <w:rFonts w:ascii="Arial" w:hAnsi="Arial" w:cs="Arial"/>
          <w:b/>
          <w:sz w:val="24"/>
          <w:szCs w:val="24"/>
        </w:rPr>
      </w:pPr>
      <w:r w:rsidRPr="003C112E">
        <w:rPr>
          <w:rFonts w:ascii="Arial" w:hAnsi="Arial" w:cs="Arial"/>
          <w:sz w:val="24"/>
          <w:szCs w:val="24"/>
          <w:lang w:val="en-ZA"/>
        </w:rPr>
        <w:t xml:space="preserve">[4]     </w:t>
      </w:r>
      <w:r w:rsidRPr="003C112E">
        <w:rPr>
          <w:rFonts w:ascii="Arial" w:hAnsi="Arial" w:cs="Arial"/>
          <w:sz w:val="24"/>
          <w:szCs w:val="24"/>
          <w:lang w:val="en-ZA"/>
        </w:rPr>
        <w:tab/>
      </w:r>
      <w:r w:rsidR="00750A2B" w:rsidRPr="00685FB7">
        <w:rPr>
          <w:rFonts w:ascii="Arial" w:hAnsi="Arial" w:cs="Arial"/>
          <w:sz w:val="24"/>
          <w:szCs w:val="24"/>
        </w:rPr>
        <w:t xml:space="preserve">Pursuant to the aforegoing </w:t>
      </w:r>
      <w:r w:rsidR="004D0614" w:rsidRPr="00685FB7">
        <w:rPr>
          <w:rFonts w:ascii="Arial" w:hAnsi="Arial" w:cs="Arial"/>
          <w:sz w:val="24"/>
          <w:szCs w:val="24"/>
        </w:rPr>
        <w:t>C</w:t>
      </w:r>
      <w:r w:rsidR="00D761A1" w:rsidRPr="00685FB7">
        <w:rPr>
          <w:rFonts w:ascii="Arial" w:hAnsi="Arial" w:cs="Arial"/>
          <w:sz w:val="24"/>
          <w:szCs w:val="24"/>
        </w:rPr>
        <w:t xml:space="preserve">ourt </w:t>
      </w:r>
      <w:r w:rsidR="004D0614" w:rsidRPr="00685FB7">
        <w:rPr>
          <w:rFonts w:ascii="Arial" w:hAnsi="Arial" w:cs="Arial"/>
          <w:sz w:val="24"/>
          <w:szCs w:val="24"/>
        </w:rPr>
        <w:t>D</w:t>
      </w:r>
      <w:r w:rsidR="00750A2B" w:rsidRPr="00685FB7">
        <w:rPr>
          <w:rFonts w:ascii="Arial" w:hAnsi="Arial" w:cs="Arial"/>
          <w:sz w:val="24"/>
          <w:szCs w:val="24"/>
        </w:rPr>
        <w:t xml:space="preserve">irections, the parties instructed Arch </w:t>
      </w:r>
      <w:r w:rsidR="003B6F6F" w:rsidRPr="00685FB7">
        <w:rPr>
          <w:rFonts w:ascii="Arial" w:hAnsi="Arial" w:cs="Arial"/>
          <w:sz w:val="24"/>
          <w:szCs w:val="24"/>
        </w:rPr>
        <w:t>Actuarial</w:t>
      </w:r>
      <w:r w:rsidR="00750A2B" w:rsidRPr="00685FB7">
        <w:rPr>
          <w:rFonts w:ascii="Arial" w:hAnsi="Arial" w:cs="Arial"/>
          <w:sz w:val="24"/>
          <w:szCs w:val="24"/>
        </w:rPr>
        <w:t xml:space="preserve"> Consulting CC to calculate the loss of support in respect of </w:t>
      </w:r>
      <w:r w:rsidR="003B6F6F" w:rsidRPr="00685FB7">
        <w:rPr>
          <w:rFonts w:ascii="Arial" w:hAnsi="Arial" w:cs="Arial"/>
          <w:sz w:val="24"/>
          <w:szCs w:val="24"/>
        </w:rPr>
        <w:t xml:space="preserve">the </w:t>
      </w:r>
      <w:r w:rsidR="00D761A1" w:rsidRPr="00685FB7">
        <w:rPr>
          <w:rFonts w:ascii="Arial" w:hAnsi="Arial" w:cs="Arial"/>
          <w:sz w:val="24"/>
          <w:szCs w:val="24"/>
        </w:rPr>
        <w:t>First, Second and Third Plaintiffs. An actuarial report dated 8 May 2024 was prepared which</w:t>
      </w:r>
      <w:r w:rsidR="0060492B" w:rsidRPr="00685FB7">
        <w:rPr>
          <w:rFonts w:ascii="Arial" w:hAnsi="Arial" w:cs="Arial"/>
          <w:sz w:val="24"/>
          <w:szCs w:val="24"/>
        </w:rPr>
        <w:t xml:space="preserve"> quantified the present value of the loss of support suffered by the Plaintiffs after contingencies in the amount of R1 436 937 calculated as follows:</w:t>
      </w:r>
      <w:r w:rsidR="0060492B">
        <w:rPr>
          <w:rStyle w:val="FootnoteReference"/>
          <w:rFonts w:ascii="Arial" w:hAnsi="Arial" w:cs="Arial"/>
          <w:sz w:val="24"/>
          <w:szCs w:val="24"/>
        </w:rPr>
        <w:footnoteReference w:id="1"/>
      </w:r>
    </w:p>
    <w:p w14:paraId="0F359FED" w14:textId="77777777" w:rsidR="003C112E" w:rsidRDefault="003C112E" w:rsidP="003C112E">
      <w:pPr>
        <w:pStyle w:val="ListParagraph"/>
        <w:spacing w:after="0" w:line="480" w:lineRule="auto"/>
        <w:ind w:left="0"/>
        <w:jc w:val="both"/>
        <w:rPr>
          <w:rFonts w:ascii="Arial" w:hAnsi="Arial" w:cs="Arial"/>
          <w:b/>
          <w:sz w:val="24"/>
          <w:szCs w:val="24"/>
        </w:rPr>
      </w:pPr>
    </w:p>
    <w:p w14:paraId="1744F5A2" w14:textId="53945DA4" w:rsidR="004E11CF" w:rsidRPr="00685FB7" w:rsidRDefault="00685FB7" w:rsidP="00685FB7">
      <w:pPr>
        <w:spacing w:after="0" w:line="480" w:lineRule="auto"/>
        <w:ind w:left="720" w:hanging="360"/>
        <w:jc w:val="both"/>
        <w:rPr>
          <w:rFonts w:ascii="Arial" w:hAnsi="Arial" w:cs="Arial"/>
          <w:sz w:val="24"/>
          <w:szCs w:val="24"/>
        </w:rPr>
      </w:pPr>
      <w:r>
        <w:rPr>
          <w:rFonts w:ascii="Arial" w:hAnsi="Arial" w:cs="Arial"/>
          <w:sz w:val="24"/>
          <w:szCs w:val="24"/>
          <w:lang w:val="en-ZA"/>
        </w:rPr>
        <w:t>(a)</w:t>
      </w:r>
      <w:r>
        <w:rPr>
          <w:rFonts w:ascii="Arial" w:hAnsi="Arial" w:cs="Arial"/>
          <w:sz w:val="24"/>
          <w:szCs w:val="24"/>
          <w:lang w:val="en-ZA"/>
        </w:rPr>
        <w:tab/>
      </w:r>
      <w:r w:rsidR="004E11CF" w:rsidRPr="00685FB7">
        <w:rPr>
          <w:rFonts w:ascii="Arial" w:hAnsi="Arial" w:cs="Arial"/>
          <w:sz w:val="24"/>
          <w:szCs w:val="24"/>
        </w:rPr>
        <w:t>First Plaintiff</w:t>
      </w:r>
      <w:r w:rsidR="004E11CF" w:rsidRPr="00685FB7">
        <w:rPr>
          <w:rFonts w:ascii="Arial" w:hAnsi="Arial" w:cs="Arial"/>
          <w:sz w:val="24"/>
          <w:szCs w:val="24"/>
        </w:rPr>
        <w:tab/>
      </w:r>
      <w:r w:rsidR="004E11CF" w:rsidRPr="00685FB7">
        <w:rPr>
          <w:rFonts w:ascii="Arial" w:hAnsi="Arial" w:cs="Arial"/>
          <w:sz w:val="24"/>
          <w:szCs w:val="24"/>
        </w:rPr>
        <w:tab/>
      </w:r>
      <w:r w:rsidR="004E11CF" w:rsidRPr="00685FB7">
        <w:rPr>
          <w:rFonts w:ascii="Arial" w:hAnsi="Arial" w:cs="Arial"/>
          <w:sz w:val="24"/>
          <w:szCs w:val="24"/>
        </w:rPr>
        <w:tab/>
      </w:r>
      <w:r w:rsidR="004E11CF" w:rsidRPr="00685FB7">
        <w:rPr>
          <w:rFonts w:ascii="Arial" w:hAnsi="Arial" w:cs="Arial"/>
          <w:sz w:val="24"/>
          <w:szCs w:val="24"/>
        </w:rPr>
        <w:tab/>
      </w:r>
      <w:r w:rsidR="004E11CF" w:rsidRPr="00685FB7">
        <w:rPr>
          <w:rFonts w:ascii="Arial" w:hAnsi="Arial" w:cs="Arial"/>
          <w:sz w:val="24"/>
          <w:szCs w:val="24"/>
        </w:rPr>
        <w:tab/>
      </w:r>
      <w:r w:rsidR="004E11CF" w:rsidRPr="00685FB7">
        <w:rPr>
          <w:rFonts w:ascii="Arial" w:hAnsi="Arial" w:cs="Arial"/>
          <w:sz w:val="24"/>
          <w:szCs w:val="24"/>
        </w:rPr>
        <w:tab/>
        <w:t>R965 658</w:t>
      </w:r>
    </w:p>
    <w:p w14:paraId="4B8FF39C" w14:textId="5E49749D" w:rsidR="004E11CF" w:rsidRPr="00685FB7" w:rsidRDefault="00685FB7" w:rsidP="00685FB7">
      <w:pPr>
        <w:spacing w:after="0" w:line="480" w:lineRule="auto"/>
        <w:ind w:left="720" w:hanging="360"/>
        <w:jc w:val="both"/>
        <w:rPr>
          <w:rFonts w:ascii="Arial" w:hAnsi="Arial" w:cs="Arial"/>
          <w:sz w:val="24"/>
          <w:szCs w:val="24"/>
        </w:rPr>
      </w:pPr>
      <w:r>
        <w:rPr>
          <w:rFonts w:ascii="Arial" w:hAnsi="Arial" w:cs="Arial"/>
          <w:sz w:val="24"/>
          <w:szCs w:val="24"/>
          <w:lang w:val="en-ZA"/>
        </w:rPr>
        <w:t>(b)</w:t>
      </w:r>
      <w:r>
        <w:rPr>
          <w:rFonts w:ascii="Arial" w:hAnsi="Arial" w:cs="Arial"/>
          <w:sz w:val="24"/>
          <w:szCs w:val="24"/>
          <w:lang w:val="en-ZA"/>
        </w:rPr>
        <w:tab/>
      </w:r>
      <w:r w:rsidR="004E11CF" w:rsidRPr="00685FB7">
        <w:rPr>
          <w:rFonts w:ascii="Arial" w:hAnsi="Arial" w:cs="Arial"/>
          <w:sz w:val="24"/>
          <w:szCs w:val="24"/>
        </w:rPr>
        <w:t>Second Plaintiff</w:t>
      </w:r>
      <w:r w:rsidR="004E11CF" w:rsidRPr="00685FB7">
        <w:rPr>
          <w:rFonts w:ascii="Arial" w:hAnsi="Arial" w:cs="Arial"/>
          <w:sz w:val="24"/>
          <w:szCs w:val="24"/>
        </w:rPr>
        <w:tab/>
      </w:r>
      <w:r w:rsidR="004E11CF" w:rsidRPr="00685FB7">
        <w:rPr>
          <w:rFonts w:ascii="Arial" w:hAnsi="Arial" w:cs="Arial"/>
          <w:sz w:val="24"/>
          <w:szCs w:val="24"/>
        </w:rPr>
        <w:tab/>
      </w:r>
      <w:r w:rsidR="004E11CF" w:rsidRPr="00685FB7">
        <w:rPr>
          <w:rFonts w:ascii="Arial" w:hAnsi="Arial" w:cs="Arial"/>
          <w:sz w:val="24"/>
          <w:szCs w:val="24"/>
        </w:rPr>
        <w:tab/>
      </w:r>
      <w:r w:rsidR="004E11CF" w:rsidRPr="00685FB7">
        <w:rPr>
          <w:rFonts w:ascii="Arial" w:hAnsi="Arial" w:cs="Arial"/>
          <w:sz w:val="24"/>
          <w:szCs w:val="24"/>
        </w:rPr>
        <w:tab/>
      </w:r>
      <w:r w:rsidR="004E11CF" w:rsidRPr="00685FB7">
        <w:rPr>
          <w:rFonts w:ascii="Arial" w:hAnsi="Arial" w:cs="Arial"/>
          <w:sz w:val="24"/>
          <w:szCs w:val="24"/>
        </w:rPr>
        <w:tab/>
        <w:t>R111 867</w:t>
      </w:r>
    </w:p>
    <w:p w14:paraId="6C818481" w14:textId="25D75A3A" w:rsidR="0073371A" w:rsidRPr="00685FB7" w:rsidRDefault="00685FB7" w:rsidP="00685FB7">
      <w:pPr>
        <w:spacing w:after="0" w:line="480" w:lineRule="auto"/>
        <w:ind w:left="720" w:hanging="360"/>
        <w:jc w:val="both"/>
        <w:rPr>
          <w:rFonts w:ascii="Arial" w:hAnsi="Arial" w:cs="Arial"/>
          <w:sz w:val="24"/>
          <w:szCs w:val="24"/>
        </w:rPr>
      </w:pPr>
      <w:r>
        <w:rPr>
          <w:rFonts w:ascii="Arial" w:hAnsi="Arial" w:cs="Arial"/>
          <w:sz w:val="24"/>
          <w:szCs w:val="24"/>
          <w:lang w:val="en-ZA"/>
        </w:rPr>
        <w:t>(c)</w:t>
      </w:r>
      <w:r>
        <w:rPr>
          <w:rFonts w:ascii="Arial" w:hAnsi="Arial" w:cs="Arial"/>
          <w:sz w:val="24"/>
          <w:szCs w:val="24"/>
          <w:lang w:val="en-ZA"/>
        </w:rPr>
        <w:tab/>
      </w:r>
      <w:r w:rsidR="004E11CF" w:rsidRPr="00685FB7">
        <w:rPr>
          <w:rFonts w:ascii="Arial" w:hAnsi="Arial" w:cs="Arial"/>
          <w:sz w:val="24"/>
          <w:szCs w:val="24"/>
        </w:rPr>
        <w:t>Third Plaintiff</w:t>
      </w:r>
      <w:r w:rsidR="004E11CF" w:rsidRPr="00685FB7">
        <w:rPr>
          <w:rFonts w:ascii="Arial" w:hAnsi="Arial" w:cs="Arial"/>
          <w:sz w:val="24"/>
          <w:szCs w:val="24"/>
        </w:rPr>
        <w:tab/>
      </w:r>
      <w:r w:rsidR="004E11CF" w:rsidRPr="00685FB7">
        <w:rPr>
          <w:rFonts w:ascii="Arial" w:hAnsi="Arial" w:cs="Arial"/>
          <w:sz w:val="24"/>
          <w:szCs w:val="24"/>
        </w:rPr>
        <w:tab/>
      </w:r>
      <w:r w:rsidR="004E11CF" w:rsidRPr="00685FB7">
        <w:rPr>
          <w:rFonts w:ascii="Arial" w:hAnsi="Arial" w:cs="Arial"/>
          <w:sz w:val="24"/>
          <w:szCs w:val="24"/>
        </w:rPr>
        <w:tab/>
      </w:r>
      <w:r w:rsidR="004E11CF" w:rsidRPr="00685FB7">
        <w:rPr>
          <w:rFonts w:ascii="Arial" w:hAnsi="Arial" w:cs="Arial"/>
          <w:sz w:val="24"/>
          <w:szCs w:val="24"/>
        </w:rPr>
        <w:tab/>
      </w:r>
      <w:r w:rsidR="004E11CF" w:rsidRPr="00685FB7">
        <w:rPr>
          <w:rFonts w:ascii="Arial" w:hAnsi="Arial" w:cs="Arial"/>
          <w:sz w:val="24"/>
          <w:szCs w:val="24"/>
        </w:rPr>
        <w:tab/>
      </w:r>
      <w:r w:rsidR="004E11CF" w:rsidRPr="00685FB7">
        <w:rPr>
          <w:rFonts w:ascii="Arial" w:hAnsi="Arial" w:cs="Arial"/>
          <w:sz w:val="24"/>
          <w:szCs w:val="24"/>
        </w:rPr>
        <w:tab/>
        <w:t>R359</w:t>
      </w:r>
      <w:r w:rsidR="0073371A" w:rsidRPr="00685FB7">
        <w:rPr>
          <w:rFonts w:ascii="Arial" w:hAnsi="Arial" w:cs="Arial"/>
          <w:sz w:val="24"/>
          <w:szCs w:val="24"/>
        </w:rPr>
        <w:t> </w:t>
      </w:r>
      <w:r w:rsidR="004E11CF" w:rsidRPr="00685FB7">
        <w:rPr>
          <w:rFonts w:ascii="Arial" w:hAnsi="Arial" w:cs="Arial"/>
          <w:sz w:val="24"/>
          <w:szCs w:val="24"/>
        </w:rPr>
        <w:t>412</w:t>
      </w:r>
      <w:r w:rsidR="0073371A" w:rsidRPr="00685FB7">
        <w:rPr>
          <w:rFonts w:ascii="Arial" w:hAnsi="Arial" w:cs="Arial"/>
          <w:sz w:val="24"/>
          <w:szCs w:val="24"/>
        </w:rPr>
        <w:t>.</w:t>
      </w:r>
    </w:p>
    <w:p w14:paraId="3FC54B17" w14:textId="77777777" w:rsidR="0073371A" w:rsidRPr="0073371A" w:rsidRDefault="0073371A" w:rsidP="0073371A">
      <w:pPr>
        <w:pStyle w:val="ListParagraph"/>
        <w:spacing w:after="0" w:line="480" w:lineRule="auto"/>
        <w:jc w:val="both"/>
        <w:rPr>
          <w:rFonts w:ascii="Arial" w:hAnsi="Arial" w:cs="Arial"/>
          <w:sz w:val="24"/>
          <w:szCs w:val="24"/>
        </w:rPr>
      </w:pPr>
    </w:p>
    <w:p w14:paraId="0EDE7F82" w14:textId="39B4668A" w:rsidR="00D761A1" w:rsidRPr="00685FB7" w:rsidRDefault="00685FB7" w:rsidP="00685FB7">
      <w:pPr>
        <w:tabs>
          <w:tab w:val="left" w:pos="567"/>
        </w:tabs>
        <w:spacing w:after="0" w:line="480" w:lineRule="auto"/>
        <w:jc w:val="both"/>
        <w:rPr>
          <w:rFonts w:ascii="Arial" w:hAnsi="Arial" w:cs="Arial"/>
          <w:b/>
          <w:sz w:val="24"/>
          <w:szCs w:val="24"/>
        </w:rPr>
      </w:pPr>
      <w:r w:rsidRPr="00852E08">
        <w:rPr>
          <w:rFonts w:ascii="Arial" w:hAnsi="Arial" w:cs="Arial"/>
          <w:sz w:val="24"/>
          <w:szCs w:val="24"/>
          <w:lang w:val="en-ZA"/>
        </w:rPr>
        <w:t xml:space="preserve">[5]     </w:t>
      </w:r>
      <w:r w:rsidRPr="00852E08">
        <w:rPr>
          <w:rFonts w:ascii="Arial" w:hAnsi="Arial" w:cs="Arial"/>
          <w:sz w:val="24"/>
          <w:szCs w:val="24"/>
          <w:lang w:val="en-ZA"/>
        </w:rPr>
        <w:tab/>
      </w:r>
      <w:r w:rsidR="003C112E" w:rsidRPr="00685FB7">
        <w:rPr>
          <w:rFonts w:ascii="Arial" w:hAnsi="Arial" w:cs="Arial"/>
          <w:sz w:val="24"/>
          <w:szCs w:val="24"/>
        </w:rPr>
        <w:t xml:space="preserve">The Defendant does not challenge or dispute the loss of support computation </w:t>
      </w:r>
      <w:r w:rsidR="008C6DD4" w:rsidRPr="00685FB7">
        <w:rPr>
          <w:rFonts w:ascii="Arial" w:hAnsi="Arial" w:cs="Arial"/>
          <w:sz w:val="24"/>
          <w:szCs w:val="24"/>
        </w:rPr>
        <w:t>recommended</w:t>
      </w:r>
      <w:r w:rsidR="003C112E" w:rsidRPr="00685FB7">
        <w:rPr>
          <w:rFonts w:ascii="Arial" w:hAnsi="Arial" w:cs="Arial"/>
          <w:sz w:val="24"/>
          <w:szCs w:val="24"/>
        </w:rPr>
        <w:t xml:space="preserve"> by the </w:t>
      </w:r>
      <w:r w:rsidR="008C6DD4" w:rsidRPr="00685FB7">
        <w:rPr>
          <w:rFonts w:ascii="Arial" w:hAnsi="Arial" w:cs="Arial"/>
          <w:sz w:val="24"/>
          <w:szCs w:val="24"/>
        </w:rPr>
        <w:t>A</w:t>
      </w:r>
      <w:r w:rsidR="003C112E" w:rsidRPr="00685FB7">
        <w:rPr>
          <w:rFonts w:ascii="Arial" w:hAnsi="Arial" w:cs="Arial"/>
          <w:sz w:val="24"/>
          <w:szCs w:val="24"/>
        </w:rPr>
        <w:t>ctuary</w:t>
      </w:r>
      <w:r w:rsidR="008C6DD4" w:rsidRPr="00685FB7">
        <w:rPr>
          <w:rFonts w:ascii="Arial" w:hAnsi="Arial" w:cs="Arial"/>
          <w:sz w:val="24"/>
          <w:szCs w:val="24"/>
        </w:rPr>
        <w:t xml:space="preserve"> and the concomitant</w:t>
      </w:r>
      <w:r w:rsidR="003C112E" w:rsidRPr="00685FB7">
        <w:rPr>
          <w:rFonts w:ascii="Arial" w:hAnsi="Arial" w:cs="Arial"/>
          <w:sz w:val="24"/>
          <w:szCs w:val="24"/>
        </w:rPr>
        <w:t xml:space="preserve"> relief sought by the Plaintiffs</w:t>
      </w:r>
      <w:r w:rsidR="008C6DD4" w:rsidRPr="00685FB7">
        <w:rPr>
          <w:rFonts w:ascii="Arial" w:hAnsi="Arial" w:cs="Arial"/>
          <w:sz w:val="24"/>
          <w:szCs w:val="24"/>
        </w:rPr>
        <w:t xml:space="preserve">, in relation thereto. </w:t>
      </w:r>
    </w:p>
    <w:p w14:paraId="08CE6304" w14:textId="77777777" w:rsidR="00FC0506" w:rsidRDefault="00FC0506" w:rsidP="00FD053C">
      <w:pPr>
        <w:pStyle w:val="ListParagraph"/>
        <w:spacing w:line="480" w:lineRule="auto"/>
        <w:ind w:left="0"/>
        <w:jc w:val="both"/>
        <w:rPr>
          <w:rFonts w:ascii="Arial" w:hAnsi="Arial" w:cs="Arial"/>
          <w:b/>
          <w:sz w:val="24"/>
          <w:szCs w:val="24"/>
        </w:rPr>
      </w:pPr>
    </w:p>
    <w:p w14:paraId="70B93A2F" w14:textId="77777777" w:rsidR="002A455C" w:rsidRPr="00A45EED" w:rsidRDefault="00EE5A5C" w:rsidP="00FD053C">
      <w:pPr>
        <w:pStyle w:val="ListParagraph"/>
        <w:spacing w:line="480" w:lineRule="auto"/>
        <w:ind w:left="0"/>
        <w:jc w:val="both"/>
        <w:rPr>
          <w:rFonts w:ascii="Arial" w:hAnsi="Arial" w:cs="Arial"/>
          <w:b/>
          <w:sz w:val="24"/>
          <w:szCs w:val="24"/>
        </w:rPr>
      </w:pPr>
      <w:r>
        <w:rPr>
          <w:rFonts w:ascii="Arial" w:hAnsi="Arial" w:cs="Arial"/>
          <w:b/>
          <w:sz w:val="24"/>
          <w:szCs w:val="24"/>
        </w:rPr>
        <w:t>Costs</w:t>
      </w:r>
    </w:p>
    <w:p w14:paraId="0CFA23F3" w14:textId="674776FC" w:rsidR="00F24B26" w:rsidRPr="00685FB7" w:rsidRDefault="00685FB7" w:rsidP="00685FB7">
      <w:pPr>
        <w:tabs>
          <w:tab w:val="left" w:pos="567"/>
        </w:tabs>
        <w:spacing w:line="480" w:lineRule="auto"/>
        <w:jc w:val="both"/>
        <w:rPr>
          <w:rFonts w:ascii="Arial" w:hAnsi="Arial" w:cs="Arial"/>
          <w:sz w:val="24"/>
          <w:szCs w:val="24"/>
        </w:rPr>
      </w:pPr>
      <w:r>
        <w:rPr>
          <w:rFonts w:ascii="Arial" w:hAnsi="Arial" w:cs="Arial"/>
          <w:sz w:val="24"/>
          <w:szCs w:val="24"/>
          <w:lang w:val="en-ZA"/>
        </w:rPr>
        <w:t xml:space="preserve">[6]     </w:t>
      </w:r>
      <w:r>
        <w:rPr>
          <w:rFonts w:ascii="Arial" w:hAnsi="Arial" w:cs="Arial"/>
          <w:sz w:val="24"/>
          <w:szCs w:val="24"/>
          <w:lang w:val="en-ZA"/>
        </w:rPr>
        <w:tab/>
      </w:r>
      <w:r w:rsidR="00F24B26" w:rsidRPr="00685FB7">
        <w:rPr>
          <w:rFonts w:ascii="Arial" w:hAnsi="Arial" w:cs="Arial"/>
          <w:sz w:val="24"/>
          <w:szCs w:val="24"/>
        </w:rPr>
        <w:t>The issue of costs was held over, as costs in my view cannot be dealt with on a piecemeal basis. The following cost considerations require determination:</w:t>
      </w:r>
    </w:p>
    <w:p w14:paraId="7341D2F4" w14:textId="02DC8D42" w:rsidR="00F24B26" w:rsidRPr="00685FB7" w:rsidRDefault="00685FB7" w:rsidP="00685FB7">
      <w:pPr>
        <w:spacing w:line="480" w:lineRule="auto"/>
        <w:ind w:left="720" w:hanging="360"/>
        <w:jc w:val="both"/>
        <w:rPr>
          <w:rFonts w:ascii="Arial" w:hAnsi="Arial" w:cs="Arial"/>
          <w:sz w:val="24"/>
          <w:szCs w:val="24"/>
        </w:rPr>
      </w:pPr>
      <w:r>
        <w:rPr>
          <w:rFonts w:ascii="Arial" w:hAnsi="Arial" w:cs="Arial"/>
          <w:sz w:val="24"/>
          <w:szCs w:val="24"/>
          <w:lang w:val="en-ZA"/>
        </w:rPr>
        <w:t>(a)</w:t>
      </w:r>
      <w:r>
        <w:rPr>
          <w:rFonts w:ascii="Arial" w:hAnsi="Arial" w:cs="Arial"/>
          <w:sz w:val="24"/>
          <w:szCs w:val="24"/>
          <w:lang w:val="en-ZA"/>
        </w:rPr>
        <w:tab/>
      </w:r>
      <w:r w:rsidR="00F24B26" w:rsidRPr="00685FB7">
        <w:rPr>
          <w:rFonts w:ascii="Arial" w:hAnsi="Arial" w:cs="Arial"/>
          <w:sz w:val="24"/>
          <w:szCs w:val="24"/>
        </w:rPr>
        <w:t>The costs of the trial on merits;</w:t>
      </w:r>
    </w:p>
    <w:p w14:paraId="3F46C4E4" w14:textId="7C8F1021" w:rsidR="00F24B26" w:rsidRPr="00685FB7" w:rsidRDefault="00685FB7" w:rsidP="00685FB7">
      <w:pPr>
        <w:spacing w:line="480" w:lineRule="auto"/>
        <w:ind w:left="720" w:hanging="360"/>
        <w:jc w:val="both"/>
        <w:rPr>
          <w:rFonts w:ascii="Arial" w:hAnsi="Arial" w:cs="Arial"/>
          <w:sz w:val="24"/>
          <w:szCs w:val="24"/>
        </w:rPr>
      </w:pPr>
      <w:r w:rsidRPr="00BD50EA">
        <w:rPr>
          <w:rFonts w:ascii="Arial" w:hAnsi="Arial" w:cs="Arial"/>
          <w:sz w:val="24"/>
          <w:szCs w:val="24"/>
          <w:lang w:val="en-ZA"/>
        </w:rPr>
        <w:t>(b)</w:t>
      </w:r>
      <w:r w:rsidRPr="00BD50EA">
        <w:rPr>
          <w:rFonts w:ascii="Arial" w:hAnsi="Arial" w:cs="Arial"/>
          <w:sz w:val="24"/>
          <w:szCs w:val="24"/>
          <w:lang w:val="en-ZA"/>
        </w:rPr>
        <w:tab/>
      </w:r>
      <w:r w:rsidR="00F24B26" w:rsidRPr="00685FB7">
        <w:rPr>
          <w:rFonts w:ascii="Arial" w:hAnsi="Arial" w:cs="Arial"/>
          <w:sz w:val="24"/>
          <w:szCs w:val="24"/>
        </w:rPr>
        <w:t>The Calderbank Offer</w:t>
      </w:r>
      <w:r w:rsidR="00BD50EA" w:rsidRPr="00685FB7">
        <w:rPr>
          <w:rFonts w:ascii="Arial" w:hAnsi="Arial" w:cs="Arial"/>
          <w:sz w:val="24"/>
          <w:szCs w:val="24"/>
        </w:rPr>
        <w:t>;</w:t>
      </w:r>
    </w:p>
    <w:p w14:paraId="18FC2830" w14:textId="56F39B4D" w:rsidR="00173A5F" w:rsidRPr="00685FB7" w:rsidRDefault="00685FB7" w:rsidP="00685FB7">
      <w:pPr>
        <w:spacing w:line="480" w:lineRule="auto"/>
        <w:ind w:left="720" w:hanging="360"/>
        <w:jc w:val="both"/>
        <w:rPr>
          <w:rFonts w:ascii="Arial" w:hAnsi="Arial" w:cs="Arial"/>
          <w:sz w:val="24"/>
          <w:szCs w:val="24"/>
        </w:rPr>
      </w:pPr>
      <w:r>
        <w:rPr>
          <w:rFonts w:ascii="Arial" w:hAnsi="Arial" w:cs="Arial"/>
          <w:sz w:val="24"/>
          <w:szCs w:val="24"/>
          <w:lang w:val="en-ZA"/>
        </w:rPr>
        <w:t>(c)</w:t>
      </w:r>
      <w:r>
        <w:rPr>
          <w:rFonts w:ascii="Arial" w:hAnsi="Arial" w:cs="Arial"/>
          <w:sz w:val="24"/>
          <w:szCs w:val="24"/>
          <w:lang w:val="en-ZA"/>
        </w:rPr>
        <w:tab/>
      </w:r>
      <w:r w:rsidR="00F24B26" w:rsidRPr="00685FB7">
        <w:rPr>
          <w:rFonts w:ascii="Arial" w:hAnsi="Arial" w:cs="Arial"/>
          <w:sz w:val="24"/>
          <w:szCs w:val="24"/>
        </w:rPr>
        <w:t>Rule 67A</w:t>
      </w:r>
      <w:r w:rsidR="00173A5F" w:rsidRPr="00685FB7">
        <w:rPr>
          <w:rFonts w:ascii="Arial" w:hAnsi="Arial" w:cs="Arial"/>
          <w:sz w:val="24"/>
          <w:szCs w:val="24"/>
        </w:rPr>
        <w:t>.</w:t>
      </w:r>
    </w:p>
    <w:p w14:paraId="1C9E663F" w14:textId="77777777" w:rsidR="00D43E55" w:rsidRPr="00627E37" w:rsidRDefault="00D43E55" w:rsidP="00D43E55">
      <w:pPr>
        <w:pStyle w:val="ListParagraph"/>
        <w:spacing w:line="480" w:lineRule="auto"/>
        <w:jc w:val="both"/>
        <w:rPr>
          <w:rFonts w:ascii="Arial" w:hAnsi="Arial" w:cs="Arial"/>
          <w:sz w:val="24"/>
          <w:szCs w:val="24"/>
        </w:rPr>
      </w:pPr>
    </w:p>
    <w:p w14:paraId="03C54A32" w14:textId="47CC1532" w:rsidR="002B7512" w:rsidRPr="00685FB7" w:rsidRDefault="00685FB7" w:rsidP="00685FB7">
      <w:pPr>
        <w:spacing w:line="480" w:lineRule="auto"/>
        <w:ind w:left="720" w:hanging="360"/>
        <w:jc w:val="both"/>
        <w:rPr>
          <w:rFonts w:ascii="Arial" w:hAnsi="Arial" w:cs="Arial"/>
          <w:b/>
          <w:i/>
          <w:sz w:val="24"/>
          <w:szCs w:val="24"/>
        </w:rPr>
      </w:pPr>
      <w:r w:rsidRPr="006E7AFC">
        <w:rPr>
          <w:rFonts w:ascii="Arial" w:hAnsi="Arial" w:cs="Arial"/>
          <w:b/>
          <w:i/>
          <w:sz w:val="24"/>
          <w:szCs w:val="24"/>
          <w:lang w:val="en-ZA"/>
        </w:rPr>
        <w:lastRenderedPageBreak/>
        <w:t>(a)</w:t>
      </w:r>
      <w:r w:rsidRPr="006E7AFC">
        <w:rPr>
          <w:rFonts w:ascii="Arial" w:hAnsi="Arial" w:cs="Arial"/>
          <w:b/>
          <w:i/>
          <w:sz w:val="24"/>
          <w:szCs w:val="24"/>
          <w:lang w:val="en-ZA"/>
        </w:rPr>
        <w:tab/>
      </w:r>
      <w:r w:rsidR="00173A5F" w:rsidRPr="00685FB7">
        <w:rPr>
          <w:rFonts w:ascii="Arial" w:hAnsi="Arial" w:cs="Arial"/>
          <w:b/>
          <w:i/>
          <w:sz w:val="24"/>
          <w:szCs w:val="24"/>
        </w:rPr>
        <w:t>Costs of the trial on merits</w:t>
      </w:r>
    </w:p>
    <w:p w14:paraId="42BC0255" w14:textId="6A668FFD" w:rsidR="00173A5F" w:rsidRPr="00685FB7" w:rsidRDefault="00685FB7" w:rsidP="00685FB7">
      <w:pPr>
        <w:tabs>
          <w:tab w:val="left" w:pos="567"/>
        </w:tabs>
        <w:spacing w:line="480" w:lineRule="auto"/>
        <w:jc w:val="both"/>
        <w:rPr>
          <w:rFonts w:ascii="Arial" w:hAnsi="Arial" w:cs="Arial"/>
          <w:b/>
          <w:sz w:val="24"/>
          <w:szCs w:val="24"/>
        </w:rPr>
      </w:pPr>
      <w:r w:rsidRPr="00F11D8D">
        <w:rPr>
          <w:rFonts w:ascii="Arial" w:hAnsi="Arial" w:cs="Arial"/>
          <w:sz w:val="24"/>
          <w:szCs w:val="24"/>
          <w:lang w:val="en-ZA"/>
        </w:rPr>
        <w:t xml:space="preserve">[7]     </w:t>
      </w:r>
      <w:r w:rsidRPr="00F11D8D">
        <w:rPr>
          <w:rFonts w:ascii="Arial" w:hAnsi="Arial" w:cs="Arial"/>
          <w:sz w:val="24"/>
          <w:szCs w:val="24"/>
          <w:lang w:val="en-ZA"/>
        </w:rPr>
        <w:tab/>
      </w:r>
      <w:r w:rsidR="00173A5F" w:rsidRPr="00685FB7">
        <w:rPr>
          <w:rFonts w:ascii="Arial" w:hAnsi="Arial" w:cs="Arial"/>
          <w:sz w:val="24"/>
          <w:szCs w:val="24"/>
        </w:rPr>
        <w:t xml:space="preserve">Samela J, in the judgment handed down on 12 December 2019, ruled that the issues of the costs of the hearing of the matter </w:t>
      </w:r>
      <w:r w:rsidR="00BB230B" w:rsidRPr="00685FB7">
        <w:rPr>
          <w:rFonts w:ascii="Arial" w:hAnsi="Arial" w:cs="Arial"/>
          <w:sz w:val="24"/>
          <w:szCs w:val="24"/>
        </w:rPr>
        <w:t>in respect of the merit</w:t>
      </w:r>
      <w:r w:rsidR="00200110" w:rsidRPr="00685FB7">
        <w:rPr>
          <w:rFonts w:ascii="Arial" w:hAnsi="Arial" w:cs="Arial"/>
          <w:sz w:val="24"/>
          <w:szCs w:val="24"/>
        </w:rPr>
        <w:t>s</w:t>
      </w:r>
      <w:r w:rsidR="00BB230B" w:rsidRPr="00685FB7">
        <w:rPr>
          <w:rFonts w:ascii="Arial" w:hAnsi="Arial" w:cs="Arial"/>
          <w:sz w:val="24"/>
          <w:szCs w:val="24"/>
        </w:rPr>
        <w:t xml:space="preserve"> be determined at a later stage. </w:t>
      </w:r>
    </w:p>
    <w:p w14:paraId="41B24A20" w14:textId="77777777" w:rsidR="00F11D8D" w:rsidRPr="00F11D8D" w:rsidRDefault="00F11D8D" w:rsidP="00F11D8D">
      <w:pPr>
        <w:pStyle w:val="ListParagraph"/>
        <w:spacing w:line="480" w:lineRule="auto"/>
        <w:ind w:left="0"/>
        <w:jc w:val="both"/>
        <w:rPr>
          <w:rFonts w:ascii="Arial" w:hAnsi="Arial" w:cs="Arial"/>
          <w:b/>
          <w:sz w:val="24"/>
          <w:szCs w:val="24"/>
        </w:rPr>
      </w:pPr>
    </w:p>
    <w:p w14:paraId="6FD27FE5" w14:textId="24C3B0E7" w:rsidR="00F11D8D" w:rsidRPr="00685FB7" w:rsidRDefault="00685FB7" w:rsidP="00685FB7">
      <w:pPr>
        <w:tabs>
          <w:tab w:val="left" w:pos="567"/>
        </w:tabs>
        <w:spacing w:line="480" w:lineRule="auto"/>
        <w:jc w:val="both"/>
        <w:rPr>
          <w:rFonts w:ascii="Arial" w:hAnsi="Arial" w:cs="Arial"/>
          <w:b/>
          <w:sz w:val="24"/>
          <w:szCs w:val="24"/>
        </w:rPr>
      </w:pPr>
      <w:r w:rsidRPr="004213D2">
        <w:rPr>
          <w:rFonts w:ascii="Arial" w:hAnsi="Arial" w:cs="Arial"/>
          <w:sz w:val="24"/>
          <w:szCs w:val="24"/>
          <w:lang w:val="en-ZA"/>
        </w:rPr>
        <w:t xml:space="preserve">[8]     </w:t>
      </w:r>
      <w:r w:rsidRPr="004213D2">
        <w:rPr>
          <w:rFonts w:ascii="Arial" w:hAnsi="Arial" w:cs="Arial"/>
          <w:sz w:val="24"/>
          <w:szCs w:val="24"/>
          <w:lang w:val="en-ZA"/>
        </w:rPr>
        <w:tab/>
      </w:r>
      <w:r w:rsidR="00F11D8D" w:rsidRPr="00685FB7">
        <w:rPr>
          <w:rFonts w:ascii="Arial" w:hAnsi="Arial" w:cs="Arial"/>
          <w:sz w:val="24"/>
          <w:szCs w:val="24"/>
        </w:rPr>
        <w:t>Counsel on behalf of the Plaintiffs contended that the Defendant should be held liable for the costs relating to the merits trial on a party-and-party scale, which costs should include the costs of counsel together with the costs of the expert witnesses, Dr Linda Liebenberg (pathologist) and Miss E P Van Wyk (forensic examiner).</w:t>
      </w:r>
      <w:r w:rsidR="00141806" w:rsidRPr="00685FB7">
        <w:rPr>
          <w:rFonts w:ascii="Arial" w:hAnsi="Arial" w:cs="Arial"/>
          <w:sz w:val="24"/>
          <w:szCs w:val="24"/>
        </w:rPr>
        <w:t xml:space="preserve"> </w:t>
      </w:r>
    </w:p>
    <w:p w14:paraId="79815EF6" w14:textId="77777777" w:rsidR="004213D2" w:rsidRPr="004213D2" w:rsidRDefault="004213D2" w:rsidP="004213D2">
      <w:pPr>
        <w:pStyle w:val="ListParagraph"/>
        <w:rPr>
          <w:rFonts w:ascii="Arial" w:hAnsi="Arial" w:cs="Arial"/>
          <w:b/>
          <w:sz w:val="24"/>
          <w:szCs w:val="24"/>
        </w:rPr>
      </w:pPr>
    </w:p>
    <w:p w14:paraId="7324FD6C" w14:textId="51AE8C9A" w:rsidR="004213D2" w:rsidRPr="00685FB7" w:rsidRDefault="00685FB7" w:rsidP="00685FB7">
      <w:pPr>
        <w:tabs>
          <w:tab w:val="left" w:pos="567"/>
        </w:tabs>
        <w:spacing w:line="480" w:lineRule="auto"/>
        <w:jc w:val="both"/>
        <w:rPr>
          <w:rFonts w:ascii="Arial" w:hAnsi="Arial" w:cs="Arial"/>
          <w:b/>
          <w:sz w:val="24"/>
          <w:szCs w:val="24"/>
        </w:rPr>
      </w:pPr>
      <w:r w:rsidRPr="00A23EF1">
        <w:rPr>
          <w:rFonts w:ascii="Arial" w:hAnsi="Arial" w:cs="Arial"/>
          <w:sz w:val="24"/>
          <w:szCs w:val="24"/>
          <w:lang w:val="en-ZA"/>
        </w:rPr>
        <w:t xml:space="preserve">[9]     </w:t>
      </w:r>
      <w:r w:rsidRPr="00A23EF1">
        <w:rPr>
          <w:rFonts w:ascii="Arial" w:hAnsi="Arial" w:cs="Arial"/>
          <w:sz w:val="24"/>
          <w:szCs w:val="24"/>
          <w:lang w:val="en-ZA"/>
        </w:rPr>
        <w:tab/>
      </w:r>
      <w:r w:rsidR="00A101B5" w:rsidRPr="00685FB7">
        <w:rPr>
          <w:rFonts w:ascii="Arial" w:hAnsi="Arial" w:cs="Arial"/>
          <w:sz w:val="24"/>
          <w:szCs w:val="24"/>
        </w:rPr>
        <w:t>The orders sought by the Plaintiffs in relation to the costs of the trial are in keeping with the accepted legal principle that costs ordinarily follow the event and is in my view appropriate.</w:t>
      </w:r>
    </w:p>
    <w:p w14:paraId="6D1B1463" w14:textId="77777777" w:rsidR="00A23EF1" w:rsidRPr="00A23EF1" w:rsidRDefault="00A23EF1" w:rsidP="00A23EF1">
      <w:pPr>
        <w:pStyle w:val="ListParagraph"/>
        <w:rPr>
          <w:rFonts w:ascii="Arial" w:hAnsi="Arial" w:cs="Arial"/>
          <w:b/>
          <w:sz w:val="24"/>
          <w:szCs w:val="24"/>
        </w:rPr>
      </w:pPr>
    </w:p>
    <w:p w14:paraId="42EA196B" w14:textId="711BDDE8" w:rsidR="00A23EF1" w:rsidRPr="00685FB7" w:rsidRDefault="00685FB7" w:rsidP="00685FB7">
      <w:pPr>
        <w:spacing w:line="480" w:lineRule="auto"/>
        <w:ind w:left="720" w:hanging="360"/>
        <w:jc w:val="both"/>
        <w:rPr>
          <w:rFonts w:ascii="Arial" w:hAnsi="Arial" w:cs="Arial"/>
          <w:b/>
          <w:i/>
          <w:sz w:val="24"/>
          <w:szCs w:val="24"/>
        </w:rPr>
      </w:pPr>
      <w:r w:rsidRPr="006E7AFC">
        <w:rPr>
          <w:rFonts w:ascii="Arial" w:hAnsi="Arial" w:cs="Arial"/>
          <w:b/>
          <w:i/>
          <w:sz w:val="24"/>
          <w:szCs w:val="24"/>
          <w:lang w:val="en-ZA"/>
        </w:rPr>
        <w:t>(b)</w:t>
      </w:r>
      <w:r w:rsidRPr="006E7AFC">
        <w:rPr>
          <w:rFonts w:ascii="Arial" w:hAnsi="Arial" w:cs="Arial"/>
          <w:b/>
          <w:i/>
          <w:sz w:val="24"/>
          <w:szCs w:val="24"/>
          <w:lang w:val="en-ZA"/>
        </w:rPr>
        <w:tab/>
      </w:r>
      <w:r w:rsidR="0093428D" w:rsidRPr="00685FB7">
        <w:rPr>
          <w:rFonts w:ascii="Arial" w:hAnsi="Arial" w:cs="Arial"/>
          <w:b/>
          <w:i/>
          <w:sz w:val="24"/>
          <w:szCs w:val="24"/>
        </w:rPr>
        <w:t>The Calderbank Offer</w:t>
      </w:r>
    </w:p>
    <w:p w14:paraId="29DDF6AA" w14:textId="348D04E3" w:rsidR="00FD053C" w:rsidRPr="00685FB7" w:rsidRDefault="00685FB7" w:rsidP="00685FB7">
      <w:pPr>
        <w:tabs>
          <w:tab w:val="left" w:pos="567"/>
        </w:tabs>
        <w:spacing w:line="480" w:lineRule="auto"/>
        <w:jc w:val="both"/>
        <w:rPr>
          <w:rFonts w:ascii="Arial" w:hAnsi="Arial" w:cs="Arial"/>
          <w:b/>
          <w:sz w:val="24"/>
          <w:szCs w:val="24"/>
        </w:rPr>
      </w:pPr>
      <w:r w:rsidRPr="00A3404C">
        <w:rPr>
          <w:rFonts w:ascii="Arial" w:hAnsi="Arial" w:cs="Arial"/>
          <w:sz w:val="24"/>
          <w:szCs w:val="24"/>
          <w:lang w:val="en-ZA"/>
        </w:rPr>
        <w:t xml:space="preserve">[10]     </w:t>
      </w:r>
      <w:r w:rsidRPr="00A3404C">
        <w:rPr>
          <w:rFonts w:ascii="Arial" w:hAnsi="Arial" w:cs="Arial"/>
          <w:sz w:val="24"/>
          <w:szCs w:val="24"/>
          <w:lang w:val="en-ZA"/>
        </w:rPr>
        <w:tab/>
      </w:r>
      <w:r w:rsidR="00FD053C" w:rsidRPr="00685FB7">
        <w:rPr>
          <w:rFonts w:ascii="Arial" w:hAnsi="Arial" w:cs="Arial"/>
          <w:sz w:val="24"/>
          <w:szCs w:val="24"/>
        </w:rPr>
        <w:t xml:space="preserve">At the outset of the hearing the Court’s attention was drawn to the fact that the Plaintiffs had previously provided the Defendant with a Calderbank Offer. It was submitted that the said offer will be disclosed to the Court, if so required, following the judgment in this matter. The Plaintiffs indicated that argument will be presented, in the event that the amount awarded by the Court is in excess of the Calderbank Offer, to motivate why the Plaintiffs would be entitled to costs on the attorney and client scale as from when the Calderbank </w:t>
      </w:r>
      <w:r w:rsidR="008F3D3C" w:rsidRPr="00685FB7">
        <w:rPr>
          <w:rFonts w:ascii="Arial" w:hAnsi="Arial" w:cs="Arial"/>
          <w:sz w:val="24"/>
          <w:szCs w:val="24"/>
        </w:rPr>
        <w:t>O</w:t>
      </w:r>
      <w:r w:rsidR="00FD053C" w:rsidRPr="00685FB7">
        <w:rPr>
          <w:rFonts w:ascii="Arial" w:hAnsi="Arial" w:cs="Arial"/>
          <w:sz w:val="24"/>
          <w:szCs w:val="24"/>
        </w:rPr>
        <w:t xml:space="preserve">ffer was served on the Defendant. </w:t>
      </w:r>
    </w:p>
    <w:p w14:paraId="434C949A" w14:textId="77777777" w:rsidR="00A3404C" w:rsidRPr="00A3404C" w:rsidRDefault="00A3404C" w:rsidP="00A3404C">
      <w:pPr>
        <w:pStyle w:val="ListParagraph"/>
        <w:spacing w:line="480" w:lineRule="auto"/>
        <w:ind w:left="0"/>
        <w:jc w:val="both"/>
        <w:rPr>
          <w:rFonts w:ascii="Arial" w:hAnsi="Arial" w:cs="Arial"/>
          <w:b/>
          <w:sz w:val="24"/>
          <w:szCs w:val="24"/>
        </w:rPr>
      </w:pPr>
    </w:p>
    <w:p w14:paraId="6BED9E4D" w14:textId="462D78F5" w:rsidR="00A3404C" w:rsidRPr="00685FB7" w:rsidRDefault="00685FB7" w:rsidP="00685FB7">
      <w:pPr>
        <w:tabs>
          <w:tab w:val="left" w:pos="567"/>
        </w:tabs>
        <w:spacing w:line="480" w:lineRule="auto"/>
        <w:jc w:val="both"/>
        <w:rPr>
          <w:rFonts w:ascii="Arial" w:hAnsi="Arial" w:cs="Arial"/>
          <w:b/>
          <w:sz w:val="24"/>
          <w:szCs w:val="24"/>
        </w:rPr>
      </w:pPr>
      <w:r w:rsidRPr="00827FE6">
        <w:rPr>
          <w:rFonts w:ascii="Arial" w:hAnsi="Arial" w:cs="Arial"/>
          <w:sz w:val="24"/>
          <w:szCs w:val="24"/>
          <w:lang w:val="en-ZA"/>
        </w:rPr>
        <w:lastRenderedPageBreak/>
        <w:t xml:space="preserve">[11]     </w:t>
      </w:r>
      <w:r w:rsidRPr="00827FE6">
        <w:rPr>
          <w:rFonts w:ascii="Arial" w:hAnsi="Arial" w:cs="Arial"/>
          <w:sz w:val="24"/>
          <w:szCs w:val="24"/>
          <w:lang w:val="en-ZA"/>
        </w:rPr>
        <w:tab/>
      </w:r>
      <w:r w:rsidR="00A3404C" w:rsidRPr="00685FB7">
        <w:rPr>
          <w:rFonts w:ascii="Arial" w:hAnsi="Arial" w:cs="Arial"/>
          <w:sz w:val="24"/>
          <w:szCs w:val="24"/>
        </w:rPr>
        <w:t>Counsel on behalf of the Plaintiffs placed on record that the Plaintiffs sent a formal Calderbank offer to the Defendant on 3 October 2022</w:t>
      </w:r>
      <w:r w:rsidR="00330068" w:rsidRPr="00685FB7">
        <w:rPr>
          <w:rFonts w:ascii="Arial" w:hAnsi="Arial" w:cs="Arial"/>
          <w:sz w:val="24"/>
          <w:szCs w:val="24"/>
        </w:rPr>
        <w:t>, notifying the Defendant of the willingness to settle the issue of costs in respect of the merits on a party-and-party scale</w:t>
      </w:r>
      <w:r w:rsidR="00C309B0" w:rsidRPr="00685FB7">
        <w:rPr>
          <w:rFonts w:ascii="Arial" w:hAnsi="Arial" w:cs="Arial"/>
          <w:sz w:val="24"/>
          <w:szCs w:val="24"/>
        </w:rPr>
        <w:t>.</w:t>
      </w:r>
      <w:r w:rsidR="00330068">
        <w:rPr>
          <w:rStyle w:val="FootnoteReference"/>
          <w:rFonts w:ascii="Arial" w:hAnsi="Arial" w:cs="Arial"/>
          <w:sz w:val="24"/>
          <w:szCs w:val="24"/>
        </w:rPr>
        <w:footnoteReference w:id="2"/>
      </w:r>
      <w:r w:rsidR="00C309B0" w:rsidRPr="00685FB7">
        <w:rPr>
          <w:rFonts w:ascii="Arial" w:hAnsi="Arial" w:cs="Arial"/>
          <w:sz w:val="24"/>
          <w:szCs w:val="24"/>
        </w:rPr>
        <w:t xml:space="preserve"> The Plaintiffs indicated that they were not intent on pursuing this Calderbank Offer.</w:t>
      </w:r>
      <w:r w:rsidR="00C309B0">
        <w:rPr>
          <w:rStyle w:val="FootnoteReference"/>
          <w:rFonts w:ascii="Arial" w:hAnsi="Arial" w:cs="Arial"/>
          <w:sz w:val="24"/>
          <w:szCs w:val="24"/>
        </w:rPr>
        <w:footnoteReference w:id="3"/>
      </w:r>
      <w:r w:rsidR="00C309B0" w:rsidRPr="00685FB7">
        <w:rPr>
          <w:rFonts w:ascii="Arial" w:hAnsi="Arial" w:cs="Arial"/>
          <w:sz w:val="24"/>
          <w:szCs w:val="24"/>
        </w:rPr>
        <w:t xml:space="preserve"> </w:t>
      </w:r>
    </w:p>
    <w:p w14:paraId="15DEDF52" w14:textId="77777777" w:rsidR="00827FE6" w:rsidRPr="00827FE6" w:rsidRDefault="00827FE6" w:rsidP="00827FE6">
      <w:pPr>
        <w:pStyle w:val="ListParagraph"/>
        <w:rPr>
          <w:rFonts w:ascii="Arial" w:hAnsi="Arial" w:cs="Arial"/>
          <w:b/>
          <w:sz w:val="24"/>
          <w:szCs w:val="24"/>
        </w:rPr>
      </w:pPr>
    </w:p>
    <w:p w14:paraId="2229FD45" w14:textId="2C908E63" w:rsidR="00827FE6" w:rsidRPr="00685FB7" w:rsidRDefault="00685FB7" w:rsidP="00685FB7">
      <w:pPr>
        <w:tabs>
          <w:tab w:val="left" w:pos="567"/>
        </w:tabs>
        <w:spacing w:line="480" w:lineRule="auto"/>
        <w:jc w:val="both"/>
        <w:rPr>
          <w:rFonts w:ascii="Arial" w:hAnsi="Arial" w:cs="Arial"/>
          <w:b/>
          <w:sz w:val="24"/>
          <w:szCs w:val="24"/>
        </w:rPr>
      </w:pPr>
      <w:r w:rsidRPr="00BE4DD1">
        <w:rPr>
          <w:rFonts w:ascii="Arial" w:hAnsi="Arial" w:cs="Arial"/>
          <w:sz w:val="24"/>
          <w:szCs w:val="24"/>
          <w:lang w:val="en-ZA"/>
        </w:rPr>
        <w:t xml:space="preserve">[12]     </w:t>
      </w:r>
      <w:r w:rsidRPr="00BE4DD1">
        <w:rPr>
          <w:rFonts w:ascii="Arial" w:hAnsi="Arial" w:cs="Arial"/>
          <w:sz w:val="24"/>
          <w:szCs w:val="24"/>
          <w:lang w:val="en-ZA"/>
        </w:rPr>
        <w:tab/>
      </w:r>
      <w:r w:rsidR="00F86B49" w:rsidRPr="00685FB7">
        <w:rPr>
          <w:rFonts w:ascii="Arial" w:hAnsi="Arial" w:cs="Arial"/>
          <w:sz w:val="24"/>
          <w:szCs w:val="24"/>
        </w:rPr>
        <w:t>A second Calderbank offer was served on the Defendant on 13 December 2022</w:t>
      </w:r>
      <w:r w:rsidR="00BE4DD1" w:rsidRPr="00685FB7">
        <w:rPr>
          <w:rFonts w:ascii="Arial" w:hAnsi="Arial" w:cs="Arial"/>
          <w:sz w:val="24"/>
          <w:szCs w:val="24"/>
        </w:rPr>
        <w:t>, in terms of which the Plaintiffs indicated that they were willing to accept settlement of their claims on the following basis:</w:t>
      </w:r>
      <w:r w:rsidR="00BE4DD1">
        <w:rPr>
          <w:rStyle w:val="FootnoteReference"/>
          <w:rFonts w:ascii="Arial" w:hAnsi="Arial" w:cs="Arial"/>
          <w:sz w:val="24"/>
          <w:szCs w:val="24"/>
        </w:rPr>
        <w:footnoteReference w:id="4"/>
      </w:r>
      <w:r w:rsidR="00BE4DD1" w:rsidRPr="00685FB7">
        <w:rPr>
          <w:rFonts w:ascii="Arial" w:hAnsi="Arial" w:cs="Arial"/>
          <w:sz w:val="24"/>
          <w:szCs w:val="24"/>
        </w:rPr>
        <w:t xml:space="preserve"> </w:t>
      </w:r>
    </w:p>
    <w:p w14:paraId="3FE6078C" w14:textId="77777777" w:rsidR="00BE4DD1" w:rsidRPr="00BE4DD1" w:rsidRDefault="00BE4DD1" w:rsidP="00BE4DD1">
      <w:pPr>
        <w:pStyle w:val="ListParagraph"/>
        <w:rPr>
          <w:rFonts w:ascii="Arial" w:hAnsi="Arial" w:cs="Arial"/>
          <w:b/>
          <w:sz w:val="24"/>
          <w:szCs w:val="24"/>
        </w:rPr>
      </w:pPr>
    </w:p>
    <w:p w14:paraId="76BC6AA3" w14:textId="189A5AC5" w:rsidR="00BE4DD1" w:rsidRPr="00685FB7" w:rsidRDefault="00685FB7" w:rsidP="00685FB7">
      <w:pPr>
        <w:spacing w:line="480" w:lineRule="auto"/>
        <w:ind w:left="720" w:hanging="360"/>
        <w:jc w:val="both"/>
        <w:rPr>
          <w:rFonts w:ascii="Arial" w:hAnsi="Arial" w:cs="Arial"/>
          <w:sz w:val="24"/>
          <w:szCs w:val="24"/>
        </w:rPr>
      </w:pPr>
      <w:r>
        <w:rPr>
          <w:rFonts w:ascii="Arial" w:hAnsi="Arial" w:cs="Arial"/>
          <w:sz w:val="24"/>
          <w:szCs w:val="24"/>
          <w:lang w:val="en-ZA"/>
        </w:rPr>
        <w:t>(a)</w:t>
      </w:r>
      <w:r>
        <w:rPr>
          <w:rFonts w:ascii="Arial" w:hAnsi="Arial" w:cs="Arial"/>
          <w:sz w:val="24"/>
          <w:szCs w:val="24"/>
          <w:lang w:val="en-ZA"/>
        </w:rPr>
        <w:tab/>
      </w:r>
      <w:r w:rsidR="00BE4DD1" w:rsidRPr="00685FB7">
        <w:rPr>
          <w:rFonts w:ascii="Arial" w:hAnsi="Arial" w:cs="Arial"/>
          <w:sz w:val="24"/>
          <w:szCs w:val="24"/>
        </w:rPr>
        <w:t xml:space="preserve">Defendant to pay the total capital amount </w:t>
      </w:r>
      <w:r w:rsidR="00702874" w:rsidRPr="00685FB7">
        <w:rPr>
          <w:rFonts w:ascii="Arial" w:hAnsi="Arial" w:cs="Arial"/>
          <w:sz w:val="24"/>
          <w:szCs w:val="24"/>
        </w:rPr>
        <w:t>R540</w:t>
      </w:r>
      <w:r w:rsidR="00C211B3" w:rsidRPr="00685FB7">
        <w:rPr>
          <w:rFonts w:ascii="Arial" w:hAnsi="Arial" w:cs="Arial"/>
          <w:sz w:val="24"/>
          <w:szCs w:val="24"/>
        </w:rPr>
        <w:t> </w:t>
      </w:r>
      <w:r w:rsidR="00702874" w:rsidRPr="00685FB7">
        <w:rPr>
          <w:rFonts w:ascii="Arial" w:hAnsi="Arial" w:cs="Arial"/>
          <w:sz w:val="24"/>
          <w:szCs w:val="24"/>
        </w:rPr>
        <w:t>098</w:t>
      </w:r>
      <w:r w:rsidR="00C211B3" w:rsidRPr="00685FB7">
        <w:rPr>
          <w:rFonts w:ascii="Arial" w:hAnsi="Arial" w:cs="Arial"/>
          <w:sz w:val="24"/>
          <w:szCs w:val="24"/>
        </w:rPr>
        <w:t>;</w:t>
      </w:r>
    </w:p>
    <w:p w14:paraId="3553D4D2" w14:textId="597281D6" w:rsidR="00C211B3" w:rsidRPr="00685FB7" w:rsidRDefault="00685FB7" w:rsidP="00685FB7">
      <w:pPr>
        <w:spacing w:line="480" w:lineRule="auto"/>
        <w:ind w:left="720" w:hanging="360"/>
        <w:jc w:val="both"/>
        <w:rPr>
          <w:rFonts w:ascii="Arial" w:hAnsi="Arial" w:cs="Arial"/>
          <w:sz w:val="24"/>
          <w:szCs w:val="24"/>
        </w:rPr>
      </w:pPr>
      <w:r>
        <w:rPr>
          <w:rFonts w:ascii="Arial" w:hAnsi="Arial" w:cs="Arial"/>
          <w:sz w:val="24"/>
          <w:szCs w:val="24"/>
          <w:lang w:val="en-ZA"/>
        </w:rPr>
        <w:t>(b)</w:t>
      </w:r>
      <w:r>
        <w:rPr>
          <w:rFonts w:ascii="Arial" w:hAnsi="Arial" w:cs="Arial"/>
          <w:sz w:val="24"/>
          <w:szCs w:val="24"/>
          <w:lang w:val="en-ZA"/>
        </w:rPr>
        <w:tab/>
      </w:r>
      <w:r w:rsidR="00C211B3" w:rsidRPr="00685FB7">
        <w:rPr>
          <w:rFonts w:ascii="Arial" w:hAnsi="Arial" w:cs="Arial"/>
          <w:sz w:val="24"/>
          <w:szCs w:val="24"/>
        </w:rPr>
        <w:t>Payment to be made within 14 calendar days of the acceptance of the offer;</w:t>
      </w:r>
    </w:p>
    <w:p w14:paraId="6C183B74" w14:textId="4E25C313" w:rsidR="00585BAB" w:rsidRPr="00685FB7" w:rsidRDefault="00685FB7" w:rsidP="00685FB7">
      <w:pPr>
        <w:spacing w:line="480" w:lineRule="auto"/>
        <w:ind w:left="720" w:hanging="360"/>
        <w:jc w:val="both"/>
        <w:rPr>
          <w:rFonts w:ascii="Arial" w:hAnsi="Arial" w:cs="Arial"/>
          <w:sz w:val="24"/>
          <w:szCs w:val="24"/>
        </w:rPr>
      </w:pPr>
      <w:r>
        <w:rPr>
          <w:rFonts w:ascii="Arial" w:hAnsi="Arial" w:cs="Arial"/>
          <w:sz w:val="24"/>
          <w:szCs w:val="24"/>
          <w:lang w:val="en-ZA"/>
        </w:rPr>
        <w:t>(c)</w:t>
      </w:r>
      <w:r>
        <w:rPr>
          <w:rFonts w:ascii="Arial" w:hAnsi="Arial" w:cs="Arial"/>
          <w:sz w:val="24"/>
          <w:szCs w:val="24"/>
          <w:lang w:val="en-ZA"/>
        </w:rPr>
        <w:tab/>
      </w:r>
      <w:r w:rsidR="00C211B3" w:rsidRPr="00685FB7">
        <w:rPr>
          <w:rFonts w:ascii="Arial" w:hAnsi="Arial" w:cs="Arial"/>
          <w:sz w:val="24"/>
          <w:szCs w:val="24"/>
        </w:rPr>
        <w:t>The Defendant to pay the Plaintiff’s taxed or agreed party-and-party costs on the High Court scale, which costs were to include the costs of Counsel and the costs of the experts.</w:t>
      </w:r>
    </w:p>
    <w:p w14:paraId="78ADAFB2" w14:textId="77777777" w:rsidR="00BD50EA" w:rsidRPr="00BD50EA" w:rsidRDefault="00BD50EA" w:rsidP="00BD50EA">
      <w:pPr>
        <w:pStyle w:val="ListParagraph"/>
        <w:spacing w:line="480" w:lineRule="auto"/>
        <w:jc w:val="both"/>
        <w:rPr>
          <w:rFonts w:ascii="Arial" w:hAnsi="Arial" w:cs="Arial"/>
          <w:sz w:val="24"/>
          <w:szCs w:val="24"/>
        </w:rPr>
      </w:pPr>
    </w:p>
    <w:p w14:paraId="3A3A48DC" w14:textId="7D669066" w:rsidR="00C211B3" w:rsidRPr="00685FB7" w:rsidRDefault="00685FB7" w:rsidP="00685FB7">
      <w:pPr>
        <w:tabs>
          <w:tab w:val="left" w:pos="567"/>
        </w:tabs>
        <w:spacing w:line="480" w:lineRule="auto"/>
        <w:jc w:val="both"/>
        <w:rPr>
          <w:rFonts w:ascii="Arial" w:hAnsi="Arial" w:cs="Arial"/>
          <w:sz w:val="24"/>
          <w:szCs w:val="24"/>
        </w:rPr>
      </w:pPr>
      <w:r>
        <w:rPr>
          <w:rFonts w:ascii="Arial" w:hAnsi="Arial" w:cs="Arial"/>
          <w:sz w:val="24"/>
          <w:szCs w:val="24"/>
          <w:lang w:val="en-ZA"/>
        </w:rPr>
        <w:t xml:space="preserve">[13]     </w:t>
      </w:r>
      <w:r>
        <w:rPr>
          <w:rFonts w:ascii="Arial" w:hAnsi="Arial" w:cs="Arial"/>
          <w:sz w:val="24"/>
          <w:szCs w:val="24"/>
          <w:lang w:val="en-ZA"/>
        </w:rPr>
        <w:tab/>
      </w:r>
      <w:r w:rsidR="00615333" w:rsidRPr="00685FB7">
        <w:rPr>
          <w:rFonts w:ascii="Arial" w:hAnsi="Arial" w:cs="Arial"/>
          <w:sz w:val="24"/>
          <w:szCs w:val="24"/>
        </w:rPr>
        <w:t xml:space="preserve">Reference to </w:t>
      </w:r>
      <w:r w:rsidR="00753810" w:rsidRPr="00685FB7">
        <w:rPr>
          <w:rFonts w:ascii="Arial" w:hAnsi="Arial" w:cs="Arial"/>
          <w:sz w:val="24"/>
          <w:szCs w:val="24"/>
        </w:rPr>
        <w:t>what has been termed as “T</w:t>
      </w:r>
      <w:r w:rsidR="00615333" w:rsidRPr="00685FB7">
        <w:rPr>
          <w:rFonts w:ascii="Arial" w:hAnsi="Arial" w:cs="Arial"/>
          <w:sz w:val="24"/>
          <w:szCs w:val="24"/>
        </w:rPr>
        <w:t xml:space="preserve">he Calderbank </w:t>
      </w:r>
      <w:r w:rsidR="00753810" w:rsidRPr="00685FB7">
        <w:rPr>
          <w:rFonts w:ascii="Arial" w:hAnsi="Arial" w:cs="Arial"/>
          <w:sz w:val="24"/>
          <w:szCs w:val="24"/>
        </w:rPr>
        <w:t>O</w:t>
      </w:r>
      <w:r w:rsidR="00615333" w:rsidRPr="00685FB7">
        <w:rPr>
          <w:rFonts w:ascii="Arial" w:hAnsi="Arial" w:cs="Arial"/>
          <w:sz w:val="24"/>
          <w:szCs w:val="24"/>
        </w:rPr>
        <w:t>ffer</w:t>
      </w:r>
      <w:r w:rsidR="00753810" w:rsidRPr="00685FB7">
        <w:rPr>
          <w:rFonts w:ascii="Arial" w:hAnsi="Arial" w:cs="Arial"/>
          <w:sz w:val="24"/>
          <w:szCs w:val="24"/>
        </w:rPr>
        <w:t>”</w:t>
      </w:r>
      <w:r w:rsidR="00615333" w:rsidRPr="00685FB7">
        <w:rPr>
          <w:rFonts w:ascii="Arial" w:hAnsi="Arial" w:cs="Arial"/>
          <w:sz w:val="24"/>
          <w:szCs w:val="24"/>
        </w:rPr>
        <w:t xml:space="preserve"> emanates from a judgment of the English Court of Appeal in </w:t>
      </w:r>
      <w:r w:rsidR="00615333" w:rsidRPr="00685FB7">
        <w:rPr>
          <w:rFonts w:ascii="Arial" w:hAnsi="Arial" w:cs="Arial"/>
          <w:b/>
          <w:i/>
          <w:sz w:val="24"/>
          <w:szCs w:val="24"/>
        </w:rPr>
        <w:t>Calderbank v Calderbank</w:t>
      </w:r>
      <w:r w:rsidR="00615333">
        <w:rPr>
          <w:rStyle w:val="FootnoteReference"/>
          <w:rFonts w:ascii="Arial" w:hAnsi="Arial" w:cs="Arial"/>
          <w:b/>
          <w:i/>
          <w:sz w:val="24"/>
          <w:szCs w:val="24"/>
        </w:rPr>
        <w:footnoteReference w:id="5"/>
      </w:r>
      <w:r w:rsidR="00615333" w:rsidRPr="00685FB7">
        <w:rPr>
          <w:rFonts w:ascii="Arial" w:hAnsi="Arial" w:cs="Arial"/>
          <w:sz w:val="24"/>
          <w:szCs w:val="24"/>
        </w:rPr>
        <w:t xml:space="preserve">. Rogers J, as he then was, in the seminal judgment of </w:t>
      </w:r>
      <w:r w:rsidR="00615333" w:rsidRPr="00685FB7">
        <w:rPr>
          <w:rFonts w:ascii="Arial" w:hAnsi="Arial" w:cs="Arial"/>
          <w:b/>
          <w:i/>
          <w:sz w:val="24"/>
          <w:szCs w:val="24"/>
        </w:rPr>
        <w:t xml:space="preserve">AD v MEC For Health </w:t>
      </w:r>
      <w:r w:rsidR="00615333">
        <w:rPr>
          <w:rStyle w:val="FootnoteReference"/>
          <w:rFonts w:ascii="Arial" w:hAnsi="Arial" w:cs="Arial"/>
          <w:b/>
          <w:i/>
          <w:sz w:val="24"/>
          <w:szCs w:val="24"/>
        </w:rPr>
        <w:footnoteReference w:id="6"/>
      </w:r>
      <w:r w:rsidR="00615333" w:rsidRPr="00685FB7">
        <w:rPr>
          <w:rFonts w:ascii="Arial" w:hAnsi="Arial" w:cs="Arial"/>
          <w:sz w:val="24"/>
          <w:szCs w:val="24"/>
        </w:rPr>
        <w:t xml:space="preserve"> quoted what Cairns LJ stated in this regard that:</w:t>
      </w:r>
    </w:p>
    <w:p w14:paraId="6909E9E0" w14:textId="77777777" w:rsidR="00753810" w:rsidRDefault="00615333" w:rsidP="00753810">
      <w:pPr>
        <w:pStyle w:val="ListParagraph"/>
        <w:spacing w:line="360" w:lineRule="auto"/>
        <w:ind w:left="283" w:right="283"/>
        <w:jc w:val="both"/>
        <w:rPr>
          <w:rFonts w:ascii="Arial" w:hAnsi="Arial" w:cs="Arial"/>
          <w:i/>
        </w:rPr>
      </w:pPr>
      <w:r>
        <w:rPr>
          <w:rFonts w:ascii="Arial" w:hAnsi="Arial" w:cs="Arial"/>
          <w:i/>
        </w:rPr>
        <w:lastRenderedPageBreak/>
        <w:t xml:space="preserve">‘…he saw no reason in principle why, in cases not covered by the rules of court permitting secret offers, a litigant should not be permitted to make a settlement offer “without prejudice save as to costs” and rely on such offer, once judgment </w:t>
      </w:r>
      <w:r w:rsidR="00BA04D4">
        <w:rPr>
          <w:rFonts w:ascii="Arial" w:hAnsi="Arial" w:cs="Arial"/>
          <w:i/>
        </w:rPr>
        <w:t>h</w:t>
      </w:r>
      <w:r>
        <w:rPr>
          <w:rFonts w:ascii="Arial" w:hAnsi="Arial" w:cs="Arial"/>
          <w:i/>
        </w:rPr>
        <w:t xml:space="preserve">as been granted, in support of a particular cost order. This view was approved </w:t>
      </w:r>
      <w:r w:rsidR="005D22AF">
        <w:rPr>
          <w:rFonts w:ascii="Arial" w:hAnsi="Arial" w:cs="Arial"/>
          <w:i/>
        </w:rPr>
        <w:t>and acted upon in Cutts v Head [1984] 1 All ER 597 (CA)</w:t>
      </w:r>
      <w:r w:rsidR="00753810">
        <w:rPr>
          <w:rFonts w:ascii="Arial" w:hAnsi="Arial" w:cs="Arial"/>
          <w:i/>
        </w:rPr>
        <w:t>. The courts in Australia, New Zealand and Canada have followed suit. In some jurisdictions the rules relating to secret offers have been amended to fill the gaps where Calderbank offers previously operated. In these jurisdictions it is accepted that a Calderbank offer by a plaintiff can, after judgment, be adduced in support of a request for what we would call attorney/client costs.</w:t>
      </w:r>
      <w:r>
        <w:rPr>
          <w:rFonts w:ascii="Arial" w:hAnsi="Arial" w:cs="Arial"/>
          <w:i/>
        </w:rPr>
        <w:t>’</w:t>
      </w:r>
      <w:r>
        <w:rPr>
          <w:rStyle w:val="FootnoteReference"/>
          <w:rFonts w:ascii="Arial" w:hAnsi="Arial" w:cs="Arial"/>
          <w:i/>
        </w:rPr>
        <w:footnoteReference w:id="7"/>
      </w:r>
    </w:p>
    <w:p w14:paraId="3C5E1AEE" w14:textId="77777777" w:rsidR="00753810" w:rsidRPr="00753810" w:rsidRDefault="00753810" w:rsidP="00753810">
      <w:pPr>
        <w:pStyle w:val="ListParagraph"/>
        <w:spacing w:line="360" w:lineRule="auto"/>
        <w:ind w:left="283" w:right="283"/>
        <w:jc w:val="both"/>
        <w:rPr>
          <w:rFonts w:ascii="Arial" w:hAnsi="Arial" w:cs="Arial"/>
          <w:i/>
        </w:rPr>
      </w:pPr>
    </w:p>
    <w:p w14:paraId="013BED2A" w14:textId="7B90259A" w:rsidR="00615333" w:rsidRPr="00685FB7" w:rsidRDefault="00685FB7" w:rsidP="00685FB7">
      <w:pPr>
        <w:tabs>
          <w:tab w:val="left" w:pos="567"/>
        </w:tabs>
        <w:spacing w:line="480" w:lineRule="auto"/>
        <w:jc w:val="both"/>
        <w:rPr>
          <w:rFonts w:ascii="Arial" w:hAnsi="Arial" w:cs="Arial"/>
          <w:b/>
          <w:sz w:val="24"/>
          <w:szCs w:val="24"/>
          <w:u w:val="single"/>
        </w:rPr>
      </w:pPr>
      <w:r w:rsidRPr="00145B26">
        <w:rPr>
          <w:rFonts w:ascii="Arial" w:hAnsi="Arial" w:cs="Arial"/>
          <w:sz w:val="24"/>
          <w:szCs w:val="24"/>
          <w:lang w:val="en-ZA"/>
        </w:rPr>
        <w:t xml:space="preserve">[14]     </w:t>
      </w:r>
      <w:r w:rsidRPr="00145B26">
        <w:rPr>
          <w:rFonts w:ascii="Arial" w:hAnsi="Arial" w:cs="Arial"/>
          <w:sz w:val="24"/>
          <w:szCs w:val="24"/>
          <w:lang w:val="en-ZA"/>
        </w:rPr>
        <w:tab/>
      </w:r>
      <w:r w:rsidR="00517037" w:rsidRPr="00685FB7">
        <w:rPr>
          <w:rFonts w:ascii="Arial" w:hAnsi="Arial" w:cs="Arial"/>
          <w:sz w:val="24"/>
          <w:szCs w:val="24"/>
        </w:rPr>
        <w:t xml:space="preserve">Rogers J, after considering </w:t>
      </w:r>
      <w:r w:rsidR="00CD7C3F" w:rsidRPr="00685FB7">
        <w:rPr>
          <w:rFonts w:ascii="Arial" w:hAnsi="Arial" w:cs="Arial"/>
          <w:sz w:val="24"/>
          <w:szCs w:val="24"/>
        </w:rPr>
        <w:t xml:space="preserve">how </w:t>
      </w:r>
      <w:r w:rsidR="00517037" w:rsidRPr="00685FB7">
        <w:rPr>
          <w:rFonts w:ascii="Arial" w:hAnsi="Arial" w:cs="Arial"/>
          <w:sz w:val="24"/>
          <w:szCs w:val="24"/>
        </w:rPr>
        <w:t>English law</w:t>
      </w:r>
      <w:r w:rsidR="00EF00F4" w:rsidRPr="00685FB7">
        <w:rPr>
          <w:rFonts w:ascii="Arial" w:hAnsi="Arial" w:cs="Arial"/>
          <w:sz w:val="24"/>
          <w:szCs w:val="24"/>
        </w:rPr>
        <w:t xml:space="preserve"> and other Commonwealth jurisdictions approached</w:t>
      </w:r>
      <w:r w:rsidR="00517037" w:rsidRPr="00685FB7">
        <w:rPr>
          <w:rFonts w:ascii="Arial" w:hAnsi="Arial" w:cs="Arial"/>
          <w:sz w:val="24"/>
          <w:szCs w:val="24"/>
        </w:rPr>
        <w:t xml:space="preserve"> </w:t>
      </w:r>
      <w:r w:rsidR="00CD7C3F" w:rsidRPr="00685FB7">
        <w:rPr>
          <w:rFonts w:ascii="Arial" w:hAnsi="Arial" w:cs="Arial"/>
          <w:sz w:val="24"/>
          <w:szCs w:val="24"/>
        </w:rPr>
        <w:t>“</w:t>
      </w:r>
      <w:r w:rsidR="00517037" w:rsidRPr="00685FB7">
        <w:rPr>
          <w:rFonts w:ascii="Arial" w:hAnsi="Arial" w:cs="Arial"/>
          <w:sz w:val="24"/>
          <w:szCs w:val="24"/>
        </w:rPr>
        <w:t>without prejudice communications</w:t>
      </w:r>
      <w:r w:rsidR="00CD7C3F" w:rsidRPr="00685FB7">
        <w:rPr>
          <w:rFonts w:ascii="Arial" w:hAnsi="Arial" w:cs="Arial"/>
          <w:sz w:val="24"/>
          <w:szCs w:val="24"/>
        </w:rPr>
        <w:t>”</w:t>
      </w:r>
      <w:r w:rsidR="00605415" w:rsidRPr="00685FB7">
        <w:rPr>
          <w:rFonts w:ascii="Arial" w:hAnsi="Arial" w:cs="Arial"/>
          <w:sz w:val="24"/>
          <w:szCs w:val="24"/>
        </w:rPr>
        <w:t xml:space="preserve">, concluded that he saw no reason </w:t>
      </w:r>
      <w:r w:rsidR="00605415" w:rsidRPr="00685FB7">
        <w:rPr>
          <w:rFonts w:ascii="Arial" w:hAnsi="Arial" w:cs="Arial"/>
          <w:i/>
          <w:sz w:val="24"/>
          <w:szCs w:val="24"/>
        </w:rPr>
        <w:t xml:space="preserve">‘why our law, based as it is on English law, should not recognise the same exception as has found favour in England and other Commonwealth jurisdictions. The considerations of public policy in favour of settlements and </w:t>
      </w:r>
      <w:r w:rsidR="00605415" w:rsidRPr="00685FB7">
        <w:rPr>
          <w:rFonts w:ascii="Arial" w:hAnsi="Arial" w:cs="Arial"/>
          <w:b/>
          <w:i/>
          <w:sz w:val="24"/>
          <w:szCs w:val="24"/>
          <w:u w:val="single"/>
        </w:rPr>
        <w:t>discouraging costly litigation</w:t>
      </w:r>
      <w:r w:rsidR="00605415" w:rsidRPr="00685FB7">
        <w:rPr>
          <w:rFonts w:ascii="Arial" w:hAnsi="Arial" w:cs="Arial"/>
          <w:i/>
          <w:sz w:val="24"/>
          <w:szCs w:val="24"/>
        </w:rPr>
        <w:t xml:space="preserve"> are as compelling now as they ever were.’</w:t>
      </w:r>
      <w:r w:rsidR="00605415">
        <w:rPr>
          <w:rStyle w:val="FootnoteReference"/>
          <w:rFonts w:ascii="Arial" w:hAnsi="Arial" w:cs="Arial"/>
          <w:i/>
          <w:sz w:val="24"/>
          <w:szCs w:val="24"/>
        </w:rPr>
        <w:footnoteReference w:id="8"/>
      </w:r>
      <w:r w:rsidR="00605415" w:rsidRPr="00685FB7">
        <w:rPr>
          <w:rFonts w:ascii="Arial" w:hAnsi="Arial" w:cs="Arial"/>
          <w:sz w:val="24"/>
          <w:szCs w:val="24"/>
        </w:rPr>
        <w:t>(my emphasis)</w:t>
      </w:r>
    </w:p>
    <w:p w14:paraId="7306096B" w14:textId="77777777" w:rsidR="00145B26" w:rsidRPr="00605415" w:rsidRDefault="00145B26" w:rsidP="00145B26">
      <w:pPr>
        <w:pStyle w:val="ListParagraph"/>
        <w:spacing w:line="480" w:lineRule="auto"/>
        <w:ind w:left="0"/>
        <w:jc w:val="both"/>
        <w:rPr>
          <w:rFonts w:ascii="Arial" w:hAnsi="Arial" w:cs="Arial"/>
          <w:b/>
          <w:sz w:val="24"/>
          <w:szCs w:val="24"/>
          <w:u w:val="single"/>
        </w:rPr>
      </w:pPr>
    </w:p>
    <w:p w14:paraId="49A451AC" w14:textId="3C886CDE" w:rsidR="00605415" w:rsidRPr="00685FB7" w:rsidRDefault="00685FB7" w:rsidP="00685FB7">
      <w:pPr>
        <w:tabs>
          <w:tab w:val="left" w:pos="567"/>
        </w:tabs>
        <w:spacing w:line="480" w:lineRule="auto"/>
        <w:jc w:val="both"/>
        <w:rPr>
          <w:rFonts w:ascii="Arial" w:hAnsi="Arial" w:cs="Arial"/>
          <w:b/>
          <w:sz w:val="24"/>
          <w:szCs w:val="24"/>
          <w:u w:val="single"/>
        </w:rPr>
      </w:pPr>
      <w:r w:rsidRPr="00942C62">
        <w:rPr>
          <w:rFonts w:ascii="Arial" w:hAnsi="Arial" w:cs="Arial"/>
          <w:sz w:val="24"/>
          <w:szCs w:val="24"/>
          <w:lang w:val="en-ZA"/>
        </w:rPr>
        <w:t xml:space="preserve">[15]     </w:t>
      </w:r>
      <w:r w:rsidRPr="00942C62">
        <w:rPr>
          <w:rFonts w:ascii="Arial" w:hAnsi="Arial" w:cs="Arial"/>
          <w:sz w:val="24"/>
          <w:szCs w:val="24"/>
          <w:lang w:val="en-ZA"/>
        </w:rPr>
        <w:tab/>
      </w:r>
      <w:r w:rsidR="00CF7B47" w:rsidRPr="00685FB7">
        <w:rPr>
          <w:rFonts w:ascii="Arial" w:hAnsi="Arial" w:cs="Arial"/>
          <w:sz w:val="24"/>
          <w:szCs w:val="24"/>
        </w:rPr>
        <w:t>In principle, Calderbank offers</w:t>
      </w:r>
      <w:r w:rsidR="00E87840" w:rsidRPr="00685FB7">
        <w:rPr>
          <w:rFonts w:ascii="Arial" w:hAnsi="Arial" w:cs="Arial"/>
          <w:sz w:val="24"/>
          <w:szCs w:val="24"/>
        </w:rPr>
        <w:t xml:space="preserve">, which are akin to Rule 34 offers, </w:t>
      </w:r>
      <w:r w:rsidR="00CF7B47" w:rsidRPr="00685FB7">
        <w:rPr>
          <w:rFonts w:ascii="Arial" w:hAnsi="Arial" w:cs="Arial"/>
          <w:sz w:val="24"/>
          <w:szCs w:val="24"/>
        </w:rPr>
        <w:t>are admissible in relation to costs and may be disclosed to the Court for that p</w:t>
      </w:r>
      <w:r w:rsidR="008D6E87" w:rsidRPr="00685FB7">
        <w:rPr>
          <w:rFonts w:ascii="Arial" w:hAnsi="Arial" w:cs="Arial"/>
          <w:sz w:val="24"/>
          <w:szCs w:val="24"/>
        </w:rPr>
        <w:t>ur</w:t>
      </w:r>
      <w:r w:rsidR="00CF7B47" w:rsidRPr="00685FB7">
        <w:rPr>
          <w:rFonts w:ascii="Arial" w:hAnsi="Arial" w:cs="Arial"/>
          <w:sz w:val="24"/>
          <w:szCs w:val="24"/>
        </w:rPr>
        <w:t>pos</w:t>
      </w:r>
      <w:r w:rsidR="008D6E87" w:rsidRPr="00685FB7">
        <w:rPr>
          <w:rFonts w:ascii="Arial" w:hAnsi="Arial" w:cs="Arial"/>
          <w:sz w:val="24"/>
          <w:szCs w:val="24"/>
        </w:rPr>
        <w:t>e after judgment has been handed down.</w:t>
      </w:r>
      <w:r w:rsidR="008D6E87">
        <w:rPr>
          <w:rStyle w:val="FootnoteReference"/>
          <w:rFonts w:ascii="Arial" w:hAnsi="Arial" w:cs="Arial"/>
          <w:sz w:val="24"/>
          <w:szCs w:val="24"/>
        </w:rPr>
        <w:footnoteReference w:id="9"/>
      </w:r>
      <w:r w:rsidR="008D6E87" w:rsidRPr="00685FB7">
        <w:rPr>
          <w:rFonts w:ascii="Arial" w:hAnsi="Arial" w:cs="Arial"/>
          <w:sz w:val="24"/>
          <w:szCs w:val="24"/>
        </w:rPr>
        <w:t xml:space="preserve"> </w:t>
      </w:r>
      <w:r w:rsidR="00F24041" w:rsidRPr="00685FB7">
        <w:rPr>
          <w:rFonts w:ascii="Arial" w:hAnsi="Arial" w:cs="Arial"/>
          <w:sz w:val="24"/>
          <w:szCs w:val="24"/>
        </w:rPr>
        <w:t xml:space="preserve">In </w:t>
      </w:r>
      <w:r w:rsidR="00F24041" w:rsidRPr="00685FB7">
        <w:rPr>
          <w:rFonts w:ascii="Arial" w:hAnsi="Arial" w:cs="Arial"/>
          <w:i/>
          <w:sz w:val="24"/>
          <w:szCs w:val="24"/>
        </w:rPr>
        <w:t xml:space="preserve">casu, </w:t>
      </w:r>
      <w:r w:rsidR="00F24041" w:rsidRPr="00685FB7">
        <w:rPr>
          <w:rFonts w:ascii="Arial" w:hAnsi="Arial" w:cs="Arial"/>
          <w:sz w:val="24"/>
          <w:szCs w:val="24"/>
        </w:rPr>
        <w:t xml:space="preserve">it is uncontroverted that the respective offers made by the Plaintiffs were without prejudice offers, as contemplated in </w:t>
      </w:r>
      <w:r w:rsidR="00F24041" w:rsidRPr="00685FB7">
        <w:rPr>
          <w:rFonts w:ascii="Arial" w:hAnsi="Arial" w:cs="Arial"/>
          <w:b/>
          <w:i/>
          <w:sz w:val="24"/>
          <w:szCs w:val="24"/>
        </w:rPr>
        <w:t xml:space="preserve">Calderbank v Calderbank </w:t>
      </w:r>
      <w:r w:rsidR="00F24041" w:rsidRPr="00685FB7">
        <w:rPr>
          <w:rFonts w:ascii="Arial" w:hAnsi="Arial" w:cs="Arial"/>
          <w:i/>
          <w:sz w:val="24"/>
          <w:szCs w:val="24"/>
        </w:rPr>
        <w:t>(supra)</w:t>
      </w:r>
      <w:r w:rsidR="00F24041">
        <w:rPr>
          <w:rStyle w:val="FootnoteReference"/>
          <w:rFonts w:ascii="Arial" w:hAnsi="Arial" w:cs="Arial"/>
          <w:b/>
          <w:i/>
          <w:sz w:val="24"/>
          <w:szCs w:val="24"/>
        </w:rPr>
        <w:footnoteReference w:id="10"/>
      </w:r>
      <w:r w:rsidR="00F24041" w:rsidRPr="00685FB7">
        <w:rPr>
          <w:rFonts w:ascii="Arial" w:hAnsi="Arial" w:cs="Arial"/>
          <w:i/>
          <w:sz w:val="24"/>
          <w:szCs w:val="24"/>
        </w:rPr>
        <w:t>.</w:t>
      </w:r>
      <w:r w:rsidR="00CF7B47" w:rsidRPr="00685FB7">
        <w:rPr>
          <w:rFonts w:ascii="Arial" w:hAnsi="Arial" w:cs="Arial"/>
          <w:sz w:val="24"/>
          <w:szCs w:val="24"/>
        </w:rPr>
        <w:t xml:space="preserve">Thus, the disclosure of </w:t>
      </w:r>
      <w:r w:rsidR="00F24041" w:rsidRPr="00685FB7">
        <w:rPr>
          <w:rFonts w:ascii="Arial" w:hAnsi="Arial" w:cs="Arial"/>
          <w:sz w:val="24"/>
          <w:szCs w:val="24"/>
        </w:rPr>
        <w:t>the two “without prejudice</w:t>
      </w:r>
      <w:r w:rsidR="00CF7B47" w:rsidRPr="00685FB7">
        <w:rPr>
          <w:rFonts w:ascii="Arial" w:hAnsi="Arial" w:cs="Arial"/>
          <w:sz w:val="24"/>
          <w:szCs w:val="24"/>
        </w:rPr>
        <w:t xml:space="preserve"> offers</w:t>
      </w:r>
      <w:r w:rsidR="00F24041" w:rsidRPr="00685FB7">
        <w:rPr>
          <w:rFonts w:ascii="Arial" w:hAnsi="Arial" w:cs="Arial"/>
          <w:sz w:val="24"/>
          <w:szCs w:val="24"/>
        </w:rPr>
        <w:t>” as per Annexures “A” and “B”, respectively,</w:t>
      </w:r>
      <w:r w:rsidR="00CF7B47" w:rsidRPr="00685FB7">
        <w:rPr>
          <w:rFonts w:ascii="Arial" w:hAnsi="Arial" w:cs="Arial"/>
          <w:sz w:val="24"/>
          <w:szCs w:val="24"/>
        </w:rPr>
        <w:t xml:space="preserve"> after judgment has been </w:t>
      </w:r>
      <w:r w:rsidR="00CF7B47" w:rsidRPr="00685FB7">
        <w:rPr>
          <w:rFonts w:ascii="Arial" w:hAnsi="Arial" w:cs="Arial"/>
          <w:sz w:val="24"/>
          <w:szCs w:val="24"/>
        </w:rPr>
        <w:lastRenderedPageBreak/>
        <w:t xml:space="preserve">pronounced becomes </w:t>
      </w:r>
      <w:r w:rsidR="00026C30" w:rsidRPr="00685FB7">
        <w:rPr>
          <w:rFonts w:ascii="Arial" w:hAnsi="Arial" w:cs="Arial"/>
          <w:sz w:val="24"/>
          <w:szCs w:val="24"/>
        </w:rPr>
        <w:t xml:space="preserve">now become </w:t>
      </w:r>
      <w:r w:rsidR="00CF7B47" w:rsidRPr="00685FB7">
        <w:rPr>
          <w:rFonts w:ascii="Arial" w:hAnsi="Arial" w:cs="Arial"/>
          <w:sz w:val="24"/>
          <w:szCs w:val="24"/>
        </w:rPr>
        <w:t>a crucial consideration, in ligh</w:t>
      </w:r>
      <w:r w:rsidR="00026C30" w:rsidRPr="00685FB7">
        <w:rPr>
          <w:rFonts w:ascii="Arial" w:hAnsi="Arial" w:cs="Arial"/>
          <w:sz w:val="24"/>
          <w:szCs w:val="24"/>
        </w:rPr>
        <w:t>t of the history of this matter and submissions by the Plaintiff in this regard.</w:t>
      </w:r>
    </w:p>
    <w:p w14:paraId="3FDE05FB" w14:textId="77777777" w:rsidR="00942C62" w:rsidRPr="00942C62" w:rsidRDefault="00942C62" w:rsidP="00942C62">
      <w:pPr>
        <w:pStyle w:val="ListParagraph"/>
        <w:rPr>
          <w:rFonts w:ascii="Arial" w:hAnsi="Arial" w:cs="Arial"/>
          <w:b/>
          <w:sz w:val="24"/>
          <w:szCs w:val="24"/>
          <w:u w:val="single"/>
        </w:rPr>
      </w:pPr>
    </w:p>
    <w:p w14:paraId="43984780" w14:textId="08FDF631" w:rsidR="00942C62" w:rsidRPr="00685FB7" w:rsidRDefault="00685FB7" w:rsidP="00685FB7">
      <w:pPr>
        <w:tabs>
          <w:tab w:val="left" w:pos="567"/>
        </w:tabs>
        <w:spacing w:line="480" w:lineRule="auto"/>
        <w:jc w:val="both"/>
        <w:rPr>
          <w:rFonts w:ascii="Arial" w:hAnsi="Arial" w:cs="Arial"/>
          <w:b/>
          <w:sz w:val="24"/>
          <w:szCs w:val="24"/>
          <w:u w:val="single"/>
        </w:rPr>
      </w:pPr>
      <w:r w:rsidRPr="002371AB">
        <w:rPr>
          <w:rFonts w:ascii="Arial" w:hAnsi="Arial" w:cs="Arial"/>
          <w:sz w:val="24"/>
          <w:szCs w:val="24"/>
          <w:lang w:val="en-ZA"/>
        </w:rPr>
        <w:t xml:space="preserve">[16]     </w:t>
      </w:r>
      <w:r w:rsidRPr="002371AB">
        <w:rPr>
          <w:rFonts w:ascii="Arial" w:hAnsi="Arial" w:cs="Arial"/>
          <w:sz w:val="24"/>
          <w:szCs w:val="24"/>
          <w:lang w:val="en-ZA"/>
        </w:rPr>
        <w:tab/>
      </w:r>
      <w:r w:rsidR="00942C62" w:rsidRPr="00685FB7">
        <w:rPr>
          <w:rFonts w:ascii="Arial" w:hAnsi="Arial" w:cs="Arial"/>
          <w:sz w:val="24"/>
          <w:szCs w:val="24"/>
        </w:rPr>
        <w:t>It was submitted that the Plaintiffs properly placed the Defendant at risk with its timeous Calderbank offer, reserving explicitly the issue of costs and the scale thereof. Counsel on behalf of the Plaintiffs furthermore contended that the Defendant was guilty of allowing litigation to proceed when it could and should not have done so, and by incurring costs at the expense of public funds.</w:t>
      </w:r>
      <w:r w:rsidR="00942C62">
        <w:rPr>
          <w:rStyle w:val="FootnoteReference"/>
          <w:rFonts w:ascii="Arial" w:hAnsi="Arial" w:cs="Arial"/>
          <w:sz w:val="24"/>
          <w:szCs w:val="24"/>
        </w:rPr>
        <w:footnoteReference w:id="11"/>
      </w:r>
      <w:r w:rsidR="0030775C" w:rsidRPr="00685FB7">
        <w:rPr>
          <w:rFonts w:ascii="Arial" w:hAnsi="Arial" w:cs="Arial"/>
          <w:sz w:val="24"/>
          <w:szCs w:val="24"/>
        </w:rPr>
        <w:t xml:space="preserve"> It was further mooted that the Plaintiffs will be out of pocket in the recovery of the costs </w:t>
      </w:r>
      <w:r w:rsidR="00E431D5" w:rsidRPr="00685FB7">
        <w:rPr>
          <w:rFonts w:ascii="Arial" w:hAnsi="Arial" w:cs="Arial"/>
          <w:sz w:val="24"/>
          <w:szCs w:val="24"/>
        </w:rPr>
        <w:t>on a party-and-party scale should they not be awarded costs on an attorney-and-client scale.</w:t>
      </w:r>
    </w:p>
    <w:p w14:paraId="43FBC0C2" w14:textId="77777777" w:rsidR="002371AB" w:rsidRPr="002371AB" w:rsidRDefault="002371AB" w:rsidP="002371AB">
      <w:pPr>
        <w:pStyle w:val="ListParagraph"/>
        <w:rPr>
          <w:rFonts w:ascii="Arial" w:hAnsi="Arial" w:cs="Arial"/>
          <w:b/>
          <w:sz w:val="24"/>
          <w:szCs w:val="24"/>
          <w:u w:val="single"/>
        </w:rPr>
      </w:pPr>
    </w:p>
    <w:p w14:paraId="2C1EA25A" w14:textId="019BA268" w:rsidR="002371AB" w:rsidRPr="00685FB7" w:rsidRDefault="00685FB7" w:rsidP="00685FB7">
      <w:pPr>
        <w:tabs>
          <w:tab w:val="left" w:pos="567"/>
        </w:tabs>
        <w:spacing w:line="480" w:lineRule="auto"/>
        <w:jc w:val="both"/>
        <w:rPr>
          <w:rFonts w:ascii="Arial" w:hAnsi="Arial" w:cs="Arial"/>
          <w:b/>
          <w:sz w:val="24"/>
          <w:szCs w:val="24"/>
          <w:u w:val="single"/>
        </w:rPr>
      </w:pPr>
      <w:r w:rsidRPr="00E23160">
        <w:rPr>
          <w:rFonts w:ascii="Arial" w:hAnsi="Arial" w:cs="Arial"/>
          <w:sz w:val="24"/>
          <w:szCs w:val="24"/>
          <w:lang w:val="en-ZA"/>
        </w:rPr>
        <w:t xml:space="preserve">[17]     </w:t>
      </w:r>
      <w:r w:rsidRPr="00E23160">
        <w:rPr>
          <w:rFonts w:ascii="Arial" w:hAnsi="Arial" w:cs="Arial"/>
          <w:sz w:val="24"/>
          <w:szCs w:val="24"/>
          <w:lang w:val="en-ZA"/>
        </w:rPr>
        <w:tab/>
      </w:r>
      <w:r w:rsidR="002371AB" w:rsidRPr="00685FB7">
        <w:rPr>
          <w:rFonts w:ascii="Arial" w:hAnsi="Arial" w:cs="Arial"/>
          <w:sz w:val="24"/>
          <w:szCs w:val="24"/>
        </w:rPr>
        <w:t>In response, Counsel for</w:t>
      </w:r>
      <w:r w:rsidR="005A2F43" w:rsidRPr="00685FB7">
        <w:rPr>
          <w:rFonts w:ascii="Arial" w:hAnsi="Arial" w:cs="Arial"/>
          <w:sz w:val="24"/>
          <w:szCs w:val="24"/>
        </w:rPr>
        <w:t xml:space="preserve"> the Defendant argued that the court is to take into consideration that the State Attorneys Office is </w:t>
      </w:r>
      <w:r w:rsidR="009A5B1C" w:rsidRPr="00685FB7">
        <w:rPr>
          <w:rFonts w:ascii="Arial" w:hAnsi="Arial" w:cs="Arial"/>
          <w:sz w:val="24"/>
          <w:szCs w:val="24"/>
        </w:rPr>
        <w:t>“</w:t>
      </w:r>
      <w:r w:rsidR="005A2F43" w:rsidRPr="00685FB7">
        <w:rPr>
          <w:rFonts w:ascii="Arial" w:hAnsi="Arial" w:cs="Arial"/>
          <w:sz w:val="24"/>
          <w:szCs w:val="24"/>
        </w:rPr>
        <w:t>dysfunctional</w:t>
      </w:r>
      <w:r w:rsidR="009A5B1C" w:rsidRPr="00685FB7">
        <w:rPr>
          <w:rFonts w:ascii="Arial" w:hAnsi="Arial" w:cs="Arial"/>
          <w:sz w:val="24"/>
          <w:szCs w:val="24"/>
        </w:rPr>
        <w:t>”</w:t>
      </w:r>
      <w:r w:rsidR="005A2F43" w:rsidRPr="00685FB7">
        <w:rPr>
          <w:rFonts w:ascii="Arial" w:hAnsi="Arial" w:cs="Arial"/>
          <w:sz w:val="24"/>
          <w:szCs w:val="24"/>
        </w:rPr>
        <w:t xml:space="preserve"> </w:t>
      </w:r>
      <w:r w:rsidR="00407A5B" w:rsidRPr="00685FB7">
        <w:rPr>
          <w:rFonts w:ascii="Arial" w:hAnsi="Arial" w:cs="Arial"/>
          <w:sz w:val="24"/>
          <w:szCs w:val="24"/>
        </w:rPr>
        <w:t>and that there were logistical</w:t>
      </w:r>
      <w:r w:rsidR="005A2F43" w:rsidRPr="00685FB7">
        <w:rPr>
          <w:rFonts w:ascii="Arial" w:hAnsi="Arial" w:cs="Arial"/>
          <w:sz w:val="24"/>
          <w:szCs w:val="24"/>
        </w:rPr>
        <w:t xml:space="preserve"> challenges in the process </w:t>
      </w:r>
      <w:r w:rsidR="009A5B1C" w:rsidRPr="00685FB7">
        <w:rPr>
          <w:rFonts w:ascii="Arial" w:hAnsi="Arial" w:cs="Arial"/>
          <w:sz w:val="24"/>
          <w:szCs w:val="24"/>
        </w:rPr>
        <w:t>of securing instructions. It was further mooted that the Plaintiffs will not in essence be prejudiced as they</w:t>
      </w:r>
      <w:r w:rsidR="00E23160" w:rsidRPr="00685FB7">
        <w:rPr>
          <w:rFonts w:ascii="Arial" w:hAnsi="Arial" w:cs="Arial"/>
          <w:sz w:val="24"/>
          <w:szCs w:val="24"/>
        </w:rPr>
        <w:t xml:space="preserve"> are receiving substantially more compensations to that contained in the Calderbank offer. Furthermore, it was submitted that the effect of making a punitive costs order would in effect result in more money being taken from the fiscus. Counsel on behalf of the Defendants requested that the cost order be ordinary costs on a party-and-party scale.</w:t>
      </w:r>
    </w:p>
    <w:p w14:paraId="2E47224D" w14:textId="77777777" w:rsidR="00E23160" w:rsidRPr="00E23160" w:rsidRDefault="00E23160" w:rsidP="00E23160">
      <w:pPr>
        <w:pStyle w:val="ListParagraph"/>
        <w:rPr>
          <w:rFonts w:ascii="Arial" w:hAnsi="Arial" w:cs="Arial"/>
          <w:b/>
          <w:sz w:val="24"/>
          <w:szCs w:val="24"/>
          <w:u w:val="single"/>
        </w:rPr>
      </w:pPr>
    </w:p>
    <w:p w14:paraId="79FBA203" w14:textId="32DADD7A" w:rsidR="00E23160" w:rsidRPr="00685FB7" w:rsidRDefault="00685FB7" w:rsidP="00685FB7">
      <w:pPr>
        <w:tabs>
          <w:tab w:val="left" w:pos="567"/>
        </w:tabs>
        <w:spacing w:line="480" w:lineRule="auto"/>
        <w:jc w:val="both"/>
        <w:rPr>
          <w:rFonts w:ascii="Arial" w:hAnsi="Arial" w:cs="Arial"/>
          <w:b/>
          <w:sz w:val="24"/>
          <w:szCs w:val="24"/>
          <w:u w:val="single"/>
        </w:rPr>
      </w:pPr>
      <w:r w:rsidRPr="001C6409">
        <w:rPr>
          <w:rFonts w:ascii="Arial" w:hAnsi="Arial" w:cs="Arial"/>
          <w:sz w:val="24"/>
          <w:szCs w:val="24"/>
          <w:lang w:val="en-ZA"/>
        </w:rPr>
        <w:t xml:space="preserve">[18]     </w:t>
      </w:r>
      <w:r w:rsidRPr="001C6409">
        <w:rPr>
          <w:rFonts w:ascii="Arial" w:hAnsi="Arial" w:cs="Arial"/>
          <w:sz w:val="24"/>
          <w:szCs w:val="24"/>
          <w:lang w:val="en-ZA"/>
        </w:rPr>
        <w:tab/>
      </w:r>
      <w:r w:rsidR="00556B20" w:rsidRPr="00685FB7">
        <w:rPr>
          <w:rFonts w:ascii="Arial" w:hAnsi="Arial" w:cs="Arial"/>
          <w:sz w:val="24"/>
          <w:szCs w:val="24"/>
        </w:rPr>
        <w:t xml:space="preserve">Counsel on behalf of the Plaintiffs </w:t>
      </w:r>
      <w:r w:rsidR="007F646B" w:rsidRPr="00685FB7">
        <w:rPr>
          <w:rFonts w:ascii="Arial" w:hAnsi="Arial" w:cs="Arial"/>
          <w:sz w:val="24"/>
          <w:szCs w:val="24"/>
        </w:rPr>
        <w:t xml:space="preserve">in response, </w:t>
      </w:r>
      <w:r w:rsidR="00556B20" w:rsidRPr="00685FB7">
        <w:rPr>
          <w:rFonts w:ascii="Arial" w:hAnsi="Arial" w:cs="Arial"/>
          <w:sz w:val="24"/>
          <w:szCs w:val="24"/>
        </w:rPr>
        <w:t xml:space="preserve">contended that the argument proffered by the Defendant cannot be regarded as an excuse insofar as it relates to </w:t>
      </w:r>
      <w:r w:rsidR="009F0808" w:rsidRPr="00685FB7">
        <w:rPr>
          <w:rFonts w:ascii="Arial" w:hAnsi="Arial" w:cs="Arial"/>
          <w:sz w:val="24"/>
          <w:szCs w:val="24"/>
        </w:rPr>
        <w:t xml:space="preserve">the State Attorneys offices being in disarray. It was emphasised that the </w:t>
      </w:r>
      <w:r w:rsidR="009F0808" w:rsidRPr="00685FB7">
        <w:rPr>
          <w:rFonts w:ascii="Arial" w:hAnsi="Arial" w:cs="Arial"/>
          <w:sz w:val="24"/>
          <w:szCs w:val="24"/>
        </w:rPr>
        <w:lastRenderedPageBreak/>
        <w:t xml:space="preserve">court is to have regard to the fact that </w:t>
      </w:r>
      <w:r w:rsidR="00BA04D4" w:rsidRPr="00685FB7">
        <w:rPr>
          <w:rFonts w:ascii="Arial" w:hAnsi="Arial" w:cs="Arial"/>
          <w:sz w:val="24"/>
          <w:szCs w:val="24"/>
        </w:rPr>
        <w:t xml:space="preserve">the </w:t>
      </w:r>
      <w:r w:rsidR="009F0808" w:rsidRPr="00685FB7">
        <w:rPr>
          <w:rFonts w:ascii="Arial" w:hAnsi="Arial" w:cs="Arial"/>
          <w:sz w:val="24"/>
          <w:szCs w:val="24"/>
        </w:rPr>
        <w:t>offer that the Plaintiffs wish to pursue, was made on 13 December 2022 and nothing was done. In essence, the Plaintiffs ought not to be prejudiced because the State Attorneys do not have their proverbial house in order. Counsel on behalf of the Plaintiff strongly argued that it is precisely for this reason that the court should send a clear message by awarding costs on a punitive scale.</w:t>
      </w:r>
    </w:p>
    <w:p w14:paraId="45833637" w14:textId="77777777" w:rsidR="001C6409" w:rsidRPr="001C6409" w:rsidRDefault="001C6409" w:rsidP="001C6409">
      <w:pPr>
        <w:pStyle w:val="ListParagraph"/>
        <w:rPr>
          <w:rFonts w:ascii="Arial" w:hAnsi="Arial" w:cs="Arial"/>
          <w:b/>
          <w:sz w:val="24"/>
          <w:szCs w:val="24"/>
          <w:u w:val="single"/>
        </w:rPr>
      </w:pPr>
    </w:p>
    <w:p w14:paraId="55C3AFD3" w14:textId="54DE23D8" w:rsidR="001C6409" w:rsidRPr="00685FB7" w:rsidRDefault="00685FB7" w:rsidP="00685FB7">
      <w:pPr>
        <w:tabs>
          <w:tab w:val="left" w:pos="567"/>
        </w:tabs>
        <w:spacing w:line="480" w:lineRule="auto"/>
        <w:jc w:val="both"/>
        <w:rPr>
          <w:rFonts w:ascii="Arial" w:hAnsi="Arial" w:cs="Arial"/>
          <w:b/>
          <w:sz w:val="24"/>
          <w:szCs w:val="24"/>
          <w:u w:val="single"/>
        </w:rPr>
      </w:pPr>
      <w:r w:rsidRPr="001C6409">
        <w:rPr>
          <w:rFonts w:ascii="Arial" w:hAnsi="Arial" w:cs="Arial"/>
          <w:sz w:val="24"/>
          <w:szCs w:val="24"/>
          <w:lang w:val="en-ZA"/>
        </w:rPr>
        <w:t xml:space="preserve">[19]     </w:t>
      </w:r>
      <w:r w:rsidRPr="001C6409">
        <w:rPr>
          <w:rFonts w:ascii="Arial" w:hAnsi="Arial" w:cs="Arial"/>
          <w:sz w:val="24"/>
          <w:szCs w:val="24"/>
          <w:lang w:val="en-ZA"/>
        </w:rPr>
        <w:tab/>
      </w:r>
      <w:r w:rsidR="001C6409" w:rsidRPr="00685FB7">
        <w:rPr>
          <w:rFonts w:ascii="Arial" w:hAnsi="Arial" w:cs="Arial"/>
          <w:sz w:val="24"/>
          <w:szCs w:val="24"/>
        </w:rPr>
        <w:t xml:space="preserve">Rogers J, </w:t>
      </w:r>
      <w:r w:rsidR="00960E68" w:rsidRPr="00685FB7">
        <w:rPr>
          <w:rFonts w:ascii="Arial" w:hAnsi="Arial" w:cs="Arial"/>
          <w:sz w:val="24"/>
          <w:szCs w:val="24"/>
        </w:rPr>
        <w:t xml:space="preserve">in </w:t>
      </w:r>
      <w:r w:rsidR="00960E68" w:rsidRPr="00685FB7">
        <w:rPr>
          <w:rFonts w:ascii="Arial" w:hAnsi="Arial" w:cs="Arial"/>
          <w:b/>
          <w:i/>
          <w:sz w:val="24"/>
          <w:szCs w:val="24"/>
        </w:rPr>
        <w:t xml:space="preserve">AD </w:t>
      </w:r>
      <w:r w:rsidR="001B4A1D" w:rsidRPr="00685FB7">
        <w:rPr>
          <w:rFonts w:ascii="Arial" w:hAnsi="Arial" w:cs="Arial"/>
          <w:b/>
          <w:i/>
          <w:sz w:val="24"/>
          <w:szCs w:val="24"/>
        </w:rPr>
        <w:t>v MEC F</w:t>
      </w:r>
      <w:r w:rsidR="00BA04D4" w:rsidRPr="00685FB7">
        <w:rPr>
          <w:rFonts w:ascii="Arial" w:hAnsi="Arial" w:cs="Arial"/>
          <w:b/>
          <w:i/>
          <w:sz w:val="24"/>
          <w:szCs w:val="24"/>
        </w:rPr>
        <w:t>or</w:t>
      </w:r>
      <w:r w:rsidR="001B4A1D" w:rsidRPr="00685FB7">
        <w:rPr>
          <w:rFonts w:ascii="Arial" w:hAnsi="Arial" w:cs="Arial"/>
          <w:b/>
          <w:i/>
          <w:sz w:val="24"/>
          <w:szCs w:val="24"/>
        </w:rPr>
        <w:t xml:space="preserve"> H</w:t>
      </w:r>
      <w:r w:rsidR="00BA04D4" w:rsidRPr="00685FB7">
        <w:rPr>
          <w:rFonts w:ascii="Arial" w:hAnsi="Arial" w:cs="Arial"/>
          <w:b/>
          <w:i/>
          <w:sz w:val="24"/>
          <w:szCs w:val="24"/>
        </w:rPr>
        <w:t>ealth</w:t>
      </w:r>
      <w:r w:rsidR="001B4A1D" w:rsidRPr="00685FB7">
        <w:rPr>
          <w:rFonts w:ascii="Arial" w:hAnsi="Arial" w:cs="Arial"/>
          <w:b/>
          <w:i/>
          <w:sz w:val="24"/>
          <w:szCs w:val="24"/>
        </w:rPr>
        <w:t xml:space="preserve"> </w:t>
      </w:r>
      <w:r w:rsidR="001B4A1D" w:rsidRPr="00685FB7">
        <w:rPr>
          <w:rFonts w:ascii="Arial" w:hAnsi="Arial" w:cs="Arial"/>
          <w:i/>
          <w:sz w:val="24"/>
          <w:szCs w:val="24"/>
        </w:rPr>
        <w:t xml:space="preserve">(supra), </w:t>
      </w:r>
      <w:r w:rsidR="001C6409" w:rsidRPr="00685FB7">
        <w:rPr>
          <w:rFonts w:ascii="Arial" w:hAnsi="Arial" w:cs="Arial"/>
          <w:sz w:val="24"/>
          <w:szCs w:val="24"/>
        </w:rPr>
        <w:t>succinctly sets out the considerations</w:t>
      </w:r>
      <w:r w:rsidR="00AD1CFF" w:rsidRPr="00685FB7">
        <w:rPr>
          <w:rFonts w:ascii="Arial" w:hAnsi="Arial" w:cs="Arial"/>
          <w:sz w:val="24"/>
          <w:szCs w:val="24"/>
        </w:rPr>
        <w:t xml:space="preserve"> and guidelines</w:t>
      </w:r>
      <w:r w:rsidR="001C6409" w:rsidRPr="00685FB7">
        <w:rPr>
          <w:rFonts w:ascii="Arial" w:hAnsi="Arial" w:cs="Arial"/>
          <w:sz w:val="24"/>
          <w:szCs w:val="24"/>
        </w:rPr>
        <w:t xml:space="preserve"> in contemplating a Calderbank offer on costs as follows:</w:t>
      </w:r>
    </w:p>
    <w:p w14:paraId="4F3D154E" w14:textId="77777777" w:rsidR="001C6409" w:rsidRPr="001C6409" w:rsidRDefault="001C6409" w:rsidP="001C6409">
      <w:pPr>
        <w:pStyle w:val="ListParagraph"/>
        <w:rPr>
          <w:rFonts w:ascii="Arial" w:hAnsi="Arial" w:cs="Arial"/>
          <w:b/>
          <w:sz w:val="24"/>
          <w:szCs w:val="24"/>
          <w:u w:val="single"/>
        </w:rPr>
      </w:pPr>
    </w:p>
    <w:p w14:paraId="75674180" w14:textId="77777777" w:rsidR="001C6409" w:rsidRPr="001C6409" w:rsidRDefault="001C6409" w:rsidP="007C563E">
      <w:pPr>
        <w:pStyle w:val="ListParagraph"/>
        <w:spacing w:line="360" w:lineRule="auto"/>
        <w:ind w:left="283" w:right="283"/>
        <w:jc w:val="both"/>
        <w:rPr>
          <w:rFonts w:ascii="Arial" w:hAnsi="Arial" w:cs="Arial"/>
          <w:i/>
          <w:sz w:val="24"/>
          <w:szCs w:val="24"/>
        </w:rPr>
      </w:pPr>
      <w:r>
        <w:rPr>
          <w:rFonts w:ascii="Arial" w:hAnsi="Arial" w:cs="Arial"/>
          <w:i/>
          <w:sz w:val="24"/>
          <w:szCs w:val="24"/>
        </w:rPr>
        <w:t xml:space="preserve">‘As to the effect of a Calderbank </w:t>
      </w:r>
      <w:r w:rsidR="00CB7F60">
        <w:rPr>
          <w:rFonts w:ascii="Arial" w:hAnsi="Arial" w:cs="Arial"/>
          <w:i/>
          <w:sz w:val="24"/>
          <w:szCs w:val="24"/>
        </w:rPr>
        <w:t xml:space="preserve">offer on cost, </w:t>
      </w:r>
      <w:r w:rsidR="007C563E">
        <w:rPr>
          <w:rFonts w:ascii="Arial" w:hAnsi="Arial" w:cs="Arial"/>
          <w:i/>
          <w:sz w:val="24"/>
          <w:szCs w:val="24"/>
        </w:rPr>
        <w:t>the Commonwealth cases emphasise that a plaintiff who has made such an offer</w:t>
      </w:r>
      <w:r w:rsidR="00AD1CFF">
        <w:rPr>
          <w:rFonts w:ascii="Arial" w:hAnsi="Arial" w:cs="Arial"/>
          <w:i/>
          <w:sz w:val="24"/>
          <w:szCs w:val="24"/>
        </w:rPr>
        <w:t xml:space="preserve"> is not entitled to attorney/client costs merely because he made a secret offer which </w:t>
      </w:r>
      <w:r w:rsidR="00954335">
        <w:rPr>
          <w:rFonts w:ascii="Arial" w:hAnsi="Arial" w:cs="Arial"/>
          <w:i/>
          <w:sz w:val="24"/>
          <w:szCs w:val="24"/>
        </w:rPr>
        <w:t>was less that what the court awarded. The court must consider whether the defendant behaved unreasonably, and thus put the plaintiff to unnecessary expense, by not accepting the offer or making a reasonable counter-offer. Factors mentioned in the Commonwealth cases are whether the defendant has engaged reasonably in attempting to settle; whether the plaintiff was offering a fair discount based on a realistic assessment of the case rather than holding out for the best conceivable outcome; whether the plaintiff allowed the defendant a reasonable time to consider the offer; the extent of the difference between the amount of the offer and the amount of the award; and the nature of the proceedings and resources of the litigants.’</w:t>
      </w:r>
      <w:r w:rsidR="00954335">
        <w:rPr>
          <w:rStyle w:val="FootnoteReference"/>
          <w:rFonts w:ascii="Arial" w:hAnsi="Arial" w:cs="Arial"/>
          <w:i/>
          <w:sz w:val="24"/>
          <w:szCs w:val="24"/>
        </w:rPr>
        <w:footnoteReference w:id="12"/>
      </w:r>
    </w:p>
    <w:p w14:paraId="1548C87C" w14:textId="77777777" w:rsidR="001C6409" w:rsidRPr="001C6409" w:rsidRDefault="001C6409" w:rsidP="001C6409">
      <w:pPr>
        <w:pStyle w:val="ListParagraph"/>
        <w:rPr>
          <w:rFonts w:ascii="Arial" w:hAnsi="Arial" w:cs="Arial"/>
          <w:b/>
          <w:sz w:val="24"/>
          <w:szCs w:val="24"/>
          <w:u w:val="single"/>
        </w:rPr>
      </w:pPr>
    </w:p>
    <w:p w14:paraId="243FEFA0" w14:textId="51BE298E" w:rsidR="001C6409" w:rsidRPr="00685FB7" w:rsidRDefault="00685FB7" w:rsidP="00685FB7">
      <w:pPr>
        <w:tabs>
          <w:tab w:val="left" w:pos="567"/>
        </w:tabs>
        <w:spacing w:line="480" w:lineRule="auto"/>
        <w:jc w:val="both"/>
        <w:rPr>
          <w:rFonts w:ascii="Arial" w:hAnsi="Arial" w:cs="Arial"/>
          <w:b/>
          <w:sz w:val="24"/>
          <w:szCs w:val="24"/>
          <w:u w:val="single"/>
        </w:rPr>
      </w:pPr>
      <w:r w:rsidRPr="00E41C64">
        <w:rPr>
          <w:rFonts w:ascii="Arial" w:hAnsi="Arial" w:cs="Arial"/>
          <w:sz w:val="24"/>
          <w:szCs w:val="24"/>
          <w:lang w:val="en-ZA"/>
        </w:rPr>
        <w:t xml:space="preserve">[20]     </w:t>
      </w:r>
      <w:r w:rsidRPr="00E41C64">
        <w:rPr>
          <w:rFonts w:ascii="Arial" w:hAnsi="Arial" w:cs="Arial"/>
          <w:sz w:val="24"/>
          <w:szCs w:val="24"/>
          <w:lang w:val="en-ZA"/>
        </w:rPr>
        <w:tab/>
      </w:r>
      <w:r w:rsidR="006E1148" w:rsidRPr="00685FB7">
        <w:rPr>
          <w:rFonts w:ascii="Arial" w:hAnsi="Arial" w:cs="Arial"/>
          <w:sz w:val="24"/>
          <w:szCs w:val="24"/>
        </w:rPr>
        <w:t xml:space="preserve">The chronology of the litigation </w:t>
      </w:r>
      <w:r w:rsidR="00A2593D" w:rsidRPr="00685FB7">
        <w:rPr>
          <w:rFonts w:ascii="Arial" w:hAnsi="Arial" w:cs="Arial"/>
          <w:sz w:val="24"/>
          <w:szCs w:val="24"/>
        </w:rPr>
        <w:t>paints a stark picture of a family who, after having lost the breadwinner of the family at the hands of a member of the South African Police Services in 2005, have waited almost 17 years for closure after instituting action in 2007. There were at least 12 court hearings in the action on the merits leading up to judgment and another 7 court hearings in respect of quantum. This type of protracted litigation cannot be in the public interest and neither can it serve the interest of justice.</w:t>
      </w:r>
      <w:r w:rsidR="0030724C" w:rsidRPr="00685FB7">
        <w:rPr>
          <w:rFonts w:ascii="Arial" w:hAnsi="Arial" w:cs="Arial"/>
          <w:sz w:val="24"/>
          <w:szCs w:val="24"/>
        </w:rPr>
        <w:t xml:space="preserve"> It is precisely for this reason that </w:t>
      </w:r>
      <w:r w:rsidR="001B4444" w:rsidRPr="00685FB7">
        <w:rPr>
          <w:rFonts w:ascii="Arial" w:hAnsi="Arial" w:cs="Arial"/>
          <w:sz w:val="24"/>
          <w:szCs w:val="24"/>
        </w:rPr>
        <w:t xml:space="preserve">public policy considerations frowns upon costly litigation. </w:t>
      </w:r>
      <w:r w:rsidR="00E41C64" w:rsidRPr="00685FB7">
        <w:rPr>
          <w:rFonts w:ascii="Arial" w:hAnsi="Arial" w:cs="Arial"/>
          <w:sz w:val="24"/>
          <w:szCs w:val="24"/>
        </w:rPr>
        <w:t>It therefore follows that protracted cases cause an escalation in costs; which may have been curtailed had the Calderbank offer been considered.</w:t>
      </w:r>
    </w:p>
    <w:p w14:paraId="43D897E7" w14:textId="77777777" w:rsidR="00E41C64" w:rsidRPr="00E41C64" w:rsidRDefault="00E41C64" w:rsidP="00E41C64">
      <w:pPr>
        <w:pStyle w:val="ListParagraph"/>
        <w:spacing w:line="480" w:lineRule="auto"/>
        <w:ind w:left="0"/>
        <w:jc w:val="both"/>
        <w:rPr>
          <w:rFonts w:ascii="Arial" w:hAnsi="Arial" w:cs="Arial"/>
          <w:b/>
          <w:sz w:val="24"/>
          <w:szCs w:val="24"/>
          <w:u w:val="single"/>
        </w:rPr>
      </w:pPr>
    </w:p>
    <w:p w14:paraId="67485D65" w14:textId="564086AB" w:rsidR="00A14064" w:rsidRPr="00685FB7" w:rsidRDefault="00685FB7" w:rsidP="00685FB7">
      <w:pPr>
        <w:tabs>
          <w:tab w:val="left" w:pos="567"/>
        </w:tabs>
        <w:spacing w:line="480" w:lineRule="auto"/>
        <w:jc w:val="both"/>
        <w:rPr>
          <w:rFonts w:ascii="Arial" w:hAnsi="Arial" w:cs="Arial"/>
          <w:b/>
          <w:sz w:val="24"/>
          <w:szCs w:val="24"/>
          <w:u w:val="single"/>
        </w:rPr>
      </w:pPr>
      <w:r w:rsidRPr="00A14064">
        <w:rPr>
          <w:rFonts w:ascii="Arial" w:hAnsi="Arial" w:cs="Arial"/>
          <w:sz w:val="24"/>
          <w:szCs w:val="24"/>
          <w:lang w:val="en-ZA"/>
        </w:rPr>
        <w:t xml:space="preserve">[21]     </w:t>
      </w:r>
      <w:r w:rsidRPr="00A14064">
        <w:rPr>
          <w:rFonts w:ascii="Arial" w:hAnsi="Arial" w:cs="Arial"/>
          <w:sz w:val="24"/>
          <w:szCs w:val="24"/>
          <w:lang w:val="en-ZA"/>
        </w:rPr>
        <w:tab/>
      </w:r>
      <w:r w:rsidR="00E41C64" w:rsidRPr="00685FB7">
        <w:rPr>
          <w:rFonts w:ascii="Arial" w:hAnsi="Arial" w:cs="Arial"/>
          <w:sz w:val="24"/>
          <w:szCs w:val="24"/>
        </w:rPr>
        <w:t>Whilst this is the starting point, a one size fits all approach could never have been envisage</w:t>
      </w:r>
      <w:r w:rsidR="009F1677" w:rsidRPr="00685FB7">
        <w:rPr>
          <w:rFonts w:ascii="Arial" w:hAnsi="Arial" w:cs="Arial"/>
          <w:sz w:val="24"/>
          <w:szCs w:val="24"/>
        </w:rPr>
        <w:t>d</w:t>
      </w:r>
      <w:r w:rsidR="00E41C64" w:rsidRPr="00685FB7">
        <w:rPr>
          <w:rFonts w:ascii="Arial" w:hAnsi="Arial" w:cs="Arial"/>
          <w:sz w:val="24"/>
          <w:szCs w:val="24"/>
        </w:rPr>
        <w:t xml:space="preserve"> as is evident from the list of considerations illuminated by Rogers J.  It would therefore be incumbent of this court to also acknowledge that matters are distinguishable</w:t>
      </w:r>
      <w:r w:rsidR="00856F8B" w:rsidRPr="00685FB7">
        <w:rPr>
          <w:rFonts w:ascii="Arial" w:hAnsi="Arial" w:cs="Arial"/>
          <w:sz w:val="24"/>
          <w:szCs w:val="24"/>
        </w:rPr>
        <w:t>,</w:t>
      </w:r>
      <w:r w:rsidR="00E41C64" w:rsidRPr="00685FB7">
        <w:rPr>
          <w:rFonts w:ascii="Arial" w:hAnsi="Arial" w:cs="Arial"/>
          <w:sz w:val="24"/>
          <w:szCs w:val="24"/>
        </w:rPr>
        <w:t xml:space="preserve"> being informed by plausible reasons why matters cannot be finalised within the shortest possible period of time. I am unable to </w:t>
      </w:r>
      <w:r w:rsidR="00003425" w:rsidRPr="00685FB7">
        <w:rPr>
          <w:rFonts w:ascii="Arial" w:hAnsi="Arial" w:cs="Arial"/>
          <w:sz w:val="24"/>
          <w:szCs w:val="24"/>
        </w:rPr>
        <w:t>comment o</w:t>
      </w:r>
      <w:r w:rsidR="00856F8B" w:rsidRPr="00685FB7">
        <w:rPr>
          <w:rFonts w:ascii="Arial" w:hAnsi="Arial" w:cs="Arial"/>
          <w:sz w:val="24"/>
          <w:szCs w:val="24"/>
        </w:rPr>
        <w:t>n</w:t>
      </w:r>
      <w:r w:rsidR="00003425" w:rsidRPr="00685FB7">
        <w:rPr>
          <w:rFonts w:ascii="Arial" w:hAnsi="Arial" w:cs="Arial"/>
          <w:sz w:val="24"/>
          <w:szCs w:val="24"/>
        </w:rPr>
        <w:t xml:space="preserve"> the reasons for the delays during the trial on the merits, but in relation to the trial on quantum it was evident that there were reservations expressed by the Defendant as </w:t>
      </w:r>
      <w:r w:rsidR="00003425" w:rsidRPr="00685FB7">
        <w:rPr>
          <w:rFonts w:ascii="Arial" w:hAnsi="Arial" w:cs="Arial"/>
          <w:sz w:val="24"/>
          <w:szCs w:val="24"/>
        </w:rPr>
        <w:lastRenderedPageBreak/>
        <w:t xml:space="preserve">to </w:t>
      </w:r>
      <w:r w:rsidR="00FF5F00" w:rsidRPr="00685FB7">
        <w:rPr>
          <w:rFonts w:ascii="Arial" w:hAnsi="Arial" w:cs="Arial"/>
          <w:sz w:val="24"/>
          <w:szCs w:val="24"/>
        </w:rPr>
        <w:t>the deceased’s</w:t>
      </w:r>
      <w:r w:rsidR="00003425" w:rsidRPr="00685FB7">
        <w:rPr>
          <w:rFonts w:ascii="Arial" w:hAnsi="Arial" w:cs="Arial"/>
          <w:sz w:val="24"/>
          <w:szCs w:val="24"/>
        </w:rPr>
        <w:t xml:space="preserve"> former employment in the South African Police Services. Further information came to light during the quantum trial that necessitated further investigation. This information was not known to the Defendant at the time when the Calderbank offer was made on 13 December 2022.</w:t>
      </w:r>
      <w:r w:rsidR="00A14064" w:rsidRPr="00685FB7">
        <w:rPr>
          <w:rFonts w:ascii="Arial" w:hAnsi="Arial" w:cs="Arial"/>
          <w:sz w:val="24"/>
          <w:szCs w:val="24"/>
        </w:rPr>
        <w:t xml:space="preserve"> Furthermore, issues raised by the Defendant during the hearing of the quantum trial were relevant to considering what the deceased’s income and probable career path would have been. Other unknowns included, a determination of the First Plaintiff’s income at the time of the deceased’s death, which differed from what was projected</w:t>
      </w:r>
      <w:r w:rsidR="005C4076" w:rsidRPr="00685FB7">
        <w:rPr>
          <w:rFonts w:ascii="Arial" w:hAnsi="Arial" w:cs="Arial"/>
          <w:sz w:val="24"/>
          <w:szCs w:val="24"/>
        </w:rPr>
        <w:t xml:space="preserve"> by the Industrial Psychologist, Dr Hannes Swart. The Defendant’</w:t>
      </w:r>
      <w:r w:rsidR="004815CE" w:rsidRPr="00685FB7">
        <w:rPr>
          <w:rFonts w:ascii="Arial" w:hAnsi="Arial" w:cs="Arial"/>
          <w:sz w:val="24"/>
          <w:szCs w:val="24"/>
        </w:rPr>
        <w:t>s own expert, who</w:t>
      </w:r>
      <w:r w:rsidR="005C4076" w:rsidRPr="00685FB7">
        <w:rPr>
          <w:rFonts w:ascii="Arial" w:hAnsi="Arial" w:cs="Arial"/>
          <w:sz w:val="24"/>
          <w:szCs w:val="24"/>
        </w:rPr>
        <w:t xml:space="preserve"> was </w:t>
      </w:r>
      <w:r w:rsidR="00492766" w:rsidRPr="00685FB7">
        <w:rPr>
          <w:rFonts w:ascii="Arial" w:hAnsi="Arial" w:cs="Arial"/>
          <w:sz w:val="24"/>
          <w:szCs w:val="24"/>
        </w:rPr>
        <w:t>eventually</w:t>
      </w:r>
      <w:r w:rsidR="005C4076" w:rsidRPr="00685FB7">
        <w:rPr>
          <w:rFonts w:ascii="Arial" w:hAnsi="Arial" w:cs="Arial"/>
          <w:sz w:val="24"/>
          <w:szCs w:val="24"/>
        </w:rPr>
        <w:t xml:space="preserve"> not called to testify also differed in certain respects with the Plaintiff’s expert.</w:t>
      </w:r>
    </w:p>
    <w:p w14:paraId="5E33DBC8" w14:textId="77777777" w:rsidR="00E41C64" w:rsidRPr="00A14064" w:rsidRDefault="00A14064" w:rsidP="00A14064">
      <w:pPr>
        <w:pStyle w:val="ListParagraph"/>
        <w:spacing w:line="480" w:lineRule="auto"/>
        <w:ind w:left="0"/>
        <w:jc w:val="both"/>
        <w:rPr>
          <w:rFonts w:ascii="Arial" w:hAnsi="Arial" w:cs="Arial"/>
          <w:b/>
          <w:sz w:val="24"/>
          <w:szCs w:val="24"/>
          <w:u w:val="single"/>
        </w:rPr>
      </w:pPr>
      <w:r>
        <w:rPr>
          <w:rFonts w:ascii="Arial" w:hAnsi="Arial" w:cs="Arial"/>
          <w:sz w:val="24"/>
          <w:szCs w:val="24"/>
        </w:rPr>
        <w:t xml:space="preserve"> </w:t>
      </w:r>
    </w:p>
    <w:p w14:paraId="06837DAC" w14:textId="1712E98F" w:rsidR="00AB0D75" w:rsidRPr="00685FB7" w:rsidRDefault="00685FB7" w:rsidP="00685FB7">
      <w:pPr>
        <w:tabs>
          <w:tab w:val="left" w:pos="567"/>
        </w:tabs>
        <w:spacing w:line="480" w:lineRule="auto"/>
        <w:jc w:val="both"/>
        <w:rPr>
          <w:rFonts w:ascii="Arial" w:hAnsi="Arial" w:cs="Arial"/>
          <w:b/>
          <w:sz w:val="24"/>
          <w:szCs w:val="24"/>
          <w:u w:val="single"/>
        </w:rPr>
      </w:pPr>
      <w:r w:rsidRPr="00AB0D75">
        <w:rPr>
          <w:rFonts w:ascii="Arial" w:hAnsi="Arial" w:cs="Arial"/>
          <w:sz w:val="24"/>
          <w:szCs w:val="24"/>
          <w:lang w:val="en-ZA"/>
        </w:rPr>
        <w:t xml:space="preserve">[22]     </w:t>
      </w:r>
      <w:r w:rsidRPr="00AB0D75">
        <w:rPr>
          <w:rFonts w:ascii="Arial" w:hAnsi="Arial" w:cs="Arial"/>
          <w:sz w:val="24"/>
          <w:szCs w:val="24"/>
          <w:lang w:val="en-ZA"/>
        </w:rPr>
        <w:tab/>
      </w:r>
      <w:r w:rsidR="00A14064" w:rsidRPr="00685FB7">
        <w:rPr>
          <w:rFonts w:ascii="Arial" w:hAnsi="Arial" w:cs="Arial"/>
          <w:sz w:val="24"/>
          <w:szCs w:val="24"/>
        </w:rPr>
        <w:t>It therefore begs the question</w:t>
      </w:r>
      <w:r w:rsidR="00530045" w:rsidRPr="00685FB7">
        <w:rPr>
          <w:rFonts w:ascii="Arial" w:hAnsi="Arial" w:cs="Arial"/>
          <w:sz w:val="24"/>
          <w:szCs w:val="24"/>
        </w:rPr>
        <w:t>s</w:t>
      </w:r>
      <w:r w:rsidR="00A14064" w:rsidRPr="00685FB7">
        <w:rPr>
          <w:rFonts w:ascii="Arial" w:hAnsi="Arial" w:cs="Arial"/>
          <w:sz w:val="24"/>
          <w:szCs w:val="24"/>
        </w:rPr>
        <w:t xml:space="preserve"> whether the Defendant was ultimately vexatious or unreasonable by not c</w:t>
      </w:r>
      <w:r w:rsidR="00530045" w:rsidRPr="00685FB7">
        <w:rPr>
          <w:rFonts w:ascii="Arial" w:hAnsi="Arial" w:cs="Arial"/>
          <w:sz w:val="24"/>
          <w:szCs w:val="24"/>
        </w:rPr>
        <w:t xml:space="preserve">onsidering the Calderbank offer. </w:t>
      </w:r>
      <w:r w:rsidR="001F70E0" w:rsidRPr="00685FB7">
        <w:rPr>
          <w:rFonts w:ascii="Arial" w:hAnsi="Arial" w:cs="Arial"/>
          <w:sz w:val="24"/>
          <w:szCs w:val="24"/>
        </w:rPr>
        <w:t>In this regard,</w:t>
      </w:r>
      <w:r w:rsidR="00A14064" w:rsidRPr="00685FB7">
        <w:rPr>
          <w:rFonts w:ascii="Arial" w:hAnsi="Arial" w:cs="Arial"/>
          <w:sz w:val="24"/>
          <w:szCs w:val="24"/>
        </w:rPr>
        <w:t xml:space="preserve"> was the Defendant in a position to have made a counter-offer in the circumstances presented in this matter</w:t>
      </w:r>
      <w:r w:rsidR="00AB0D75" w:rsidRPr="00685FB7">
        <w:rPr>
          <w:rFonts w:ascii="Arial" w:hAnsi="Arial" w:cs="Arial"/>
          <w:sz w:val="24"/>
          <w:szCs w:val="24"/>
        </w:rPr>
        <w:t xml:space="preserve"> and </w:t>
      </w:r>
      <w:r w:rsidR="00A14064" w:rsidRPr="00685FB7">
        <w:rPr>
          <w:rFonts w:ascii="Arial" w:hAnsi="Arial" w:cs="Arial"/>
          <w:sz w:val="24"/>
          <w:szCs w:val="24"/>
        </w:rPr>
        <w:t>could there have been further meaningful engagement between the parties in the circumstances of this case</w:t>
      </w:r>
      <w:r w:rsidR="00530045" w:rsidRPr="00685FB7">
        <w:rPr>
          <w:rFonts w:ascii="Arial" w:hAnsi="Arial" w:cs="Arial"/>
          <w:sz w:val="24"/>
          <w:szCs w:val="24"/>
        </w:rPr>
        <w:t>?</w:t>
      </w:r>
      <w:r w:rsidR="00AB0D75" w:rsidRPr="00685FB7">
        <w:rPr>
          <w:rFonts w:ascii="Arial" w:hAnsi="Arial" w:cs="Arial"/>
          <w:sz w:val="24"/>
          <w:szCs w:val="24"/>
        </w:rPr>
        <w:t xml:space="preserve"> On a realistic assessment of this matter, it is my view that settlement could not be approached simplistically, given the unique facts of this matter. The court did not get the impression that the Defendant was opposed to settlement, it was ultimately a question of whether the parties </w:t>
      </w:r>
      <w:r w:rsidR="006E7AFC" w:rsidRPr="00685FB7">
        <w:rPr>
          <w:rFonts w:ascii="Arial" w:hAnsi="Arial" w:cs="Arial"/>
          <w:sz w:val="24"/>
          <w:szCs w:val="24"/>
        </w:rPr>
        <w:t xml:space="preserve">could </w:t>
      </w:r>
      <w:r w:rsidR="00AB0D75" w:rsidRPr="00685FB7">
        <w:rPr>
          <w:rFonts w:ascii="Arial" w:hAnsi="Arial" w:cs="Arial"/>
          <w:sz w:val="24"/>
          <w:szCs w:val="24"/>
        </w:rPr>
        <w:t xml:space="preserve">meet each other at a reasonable point. Litigation in my view, was thus unavoidable and as such, I cannot find any reason why the Defendants should be sanctioned with a punitive cost order when information came to light at a very late stage of the proceedings. </w:t>
      </w:r>
    </w:p>
    <w:p w14:paraId="7D78E62E" w14:textId="77777777" w:rsidR="00AB0D75" w:rsidRPr="00AB0D75" w:rsidRDefault="00AB0D75" w:rsidP="00AB0D75">
      <w:pPr>
        <w:pStyle w:val="ListParagraph"/>
        <w:rPr>
          <w:rFonts w:ascii="Arial" w:hAnsi="Arial" w:cs="Arial"/>
          <w:sz w:val="24"/>
          <w:szCs w:val="24"/>
        </w:rPr>
      </w:pPr>
    </w:p>
    <w:p w14:paraId="2223637B" w14:textId="451884DA" w:rsidR="00BD50EA" w:rsidRPr="00685FB7" w:rsidRDefault="00685FB7" w:rsidP="00685FB7">
      <w:pPr>
        <w:tabs>
          <w:tab w:val="left" w:pos="567"/>
        </w:tabs>
        <w:spacing w:line="480" w:lineRule="auto"/>
        <w:jc w:val="both"/>
        <w:rPr>
          <w:rFonts w:ascii="Arial" w:hAnsi="Arial" w:cs="Arial"/>
          <w:b/>
          <w:sz w:val="24"/>
          <w:szCs w:val="24"/>
          <w:u w:val="single"/>
        </w:rPr>
      </w:pPr>
      <w:r w:rsidRPr="00563B95">
        <w:rPr>
          <w:rFonts w:ascii="Arial" w:hAnsi="Arial" w:cs="Arial"/>
          <w:sz w:val="24"/>
          <w:szCs w:val="24"/>
          <w:lang w:val="en-ZA"/>
        </w:rPr>
        <w:t xml:space="preserve">[23]     </w:t>
      </w:r>
      <w:r w:rsidRPr="00563B95">
        <w:rPr>
          <w:rFonts w:ascii="Arial" w:hAnsi="Arial" w:cs="Arial"/>
          <w:sz w:val="24"/>
          <w:szCs w:val="24"/>
          <w:lang w:val="en-ZA"/>
        </w:rPr>
        <w:tab/>
      </w:r>
      <w:r w:rsidR="00AB0D75" w:rsidRPr="00685FB7">
        <w:rPr>
          <w:rFonts w:ascii="Arial" w:hAnsi="Arial" w:cs="Arial"/>
          <w:sz w:val="24"/>
          <w:szCs w:val="24"/>
        </w:rPr>
        <w:t xml:space="preserve">Finally, the resources of the litigants are also a pivotal consideration. </w:t>
      </w:r>
      <w:r w:rsidR="00BD50EA" w:rsidRPr="00685FB7">
        <w:rPr>
          <w:rFonts w:ascii="Arial" w:hAnsi="Arial" w:cs="Arial"/>
          <w:sz w:val="24"/>
          <w:szCs w:val="24"/>
        </w:rPr>
        <w:t xml:space="preserve">It is trite that the matter of cost remains in the discretion of the court. It is therefore </w:t>
      </w:r>
      <w:r w:rsidR="00BD50EA" w:rsidRPr="00685FB7">
        <w:rPr>
          <w:rFonts w:ascii="Arial" w:hAnsi="Arial" w:cs="Arial"/>
          <w:sz w:val="24"/>
          <w:szCs w:val="24"/>
        </w:rPr>
        <w:lastRenderedPageBreak/>
        <w:t>incumbent on this court, in exercising its discretion to carefully weigh the issues, the conduct of the parties and unique circumstance of this matter which may have a bearing on the issue of cost to ultimately make an order that would be fair, just and reasonable.</w:t>
      </w:r>
    </w:p>
    <w:p w14:paraId="42AC2765" w14:textId="77777777" w:rsidR="00563B95" w:rsidRPr="00622F79" w:rsidRDefault="00563B95" w:rsidP="00563B95">
      <w:pPr>
        <w:pStyle w:val="ListParagraph"/>
        <w:spacing w:line="480" w:lineRule="auto"/>
        <w:ind w:left="0"/>
        <w:jc w:val="both"/>
        <w:rPr>
          <w:rFonts w:ascii="Arial" w:hAnsi="Arial" w:cs="Arial"/>
          <w:b/>
          <w:sz w:val="24"/>
          <w:szCs w:val="24"/>
          <w:u w:val="single"/>
        </w:rPr>
      </w:pPr>
    </w:p>
    <w:p w14:paraId="617032FE" w14:textId="493C3183" w:rsidR="00BD50EA" w:rsidRPr="00685FB7" w:rsidRDefault="00685FB7" w:rsidP="00685FB7">
      <w:pPr>
        <w:tabs>
          <w:tab w:val="left" w:pos="567"/>
        </w:tabs>
        <w:spacing w:line="480" w:lineRule="auto"/>
        <w:jc w:val="both"/>
        <w:rPr>
          <w:rFonts w:ascii="Arial" w:hAnsi="Arial" w:cs="Arial"/>
          <w:b/>
          <w:sz w:val="24"/>
          <w:szCs w:val="24"/>
          <w:u w:val="single"/>
        </w:rPr>
      </w:pPr>
      <w:r w:rsidRPr="00BD50EA">
        <w:rPr>
          <w:rFonts w:ascii="Arial" w:hAnsi="Arial" w:cs="Arial"/>
          <w:sz w:val="24"/>
          <w:szCs w:val="24"/>
          <w:lang w:val="en-ZA"/>
        </w:rPr>
        <w:t xml:space="preserve">[24]     </w:t>
      </w:r>
      <w:r w:rsidRPr="00BD50EA">
        <w:rPr>
          <w:rFonts w:ascii="Arial" w:hAnsi="Arial" w:cs="Arial"/>
          <w:sz w:val="24"/>
          <w:szCs w:val="24"/>
          <w:lang w:val="en-ZA"/>
        </w:rPr>
        <w:tab/>
      </w:r>
      <w:r w:rsidR="00622F79" w:rsidRPr="00685FB7">
        <w:rPr>
          <w:rFonts w:ascii="Arial" w:hAnsi="Arial" w:cs="Arial"/>
          <w:sz w:val="24"/>
          <w:szCs w:val="24"/>
        </w:rPr>
        <w:t>After considering the arguments by the parties</w:t>
      </w:r>
      <w:r w:rsidR="00BD50EA" w:rsidRPr="00685FB7">
        <w:rPr>
          <w:rFonts w:ascii="Arial" w:hAnsi="Arial" w:cs="Arial"/>
          <w:sz w:val="24"/>
          <w:szCs w:val="24"/>
        </w:rPr>
        <w:t xml:space="preserve">, </w:t>
      </w:r>
      <w:r w:rsidR="00622F79" w:rsidRPr="00685FB7">
        <w:rPr>
          <w:rFonts w:ascii="Arial" w:hAnsi="Arial" w:cs="Arial"/>
          <w:sz w:val="24"/>
          <w:szCs w:val="24"/>
        </w:rPr>
        <w:t>I am of the view that i</w:t>
      </w:r>
      <w:r w:rsidR="00340925" w:rsidRPr="00685FB7">
        <w:rPr>
          <w:rFonts w:ascii="Arial" w:hAnsi="Arial" w:cs="Arial"/>
          <w:sz w:val="24"/>
          <w:szCs w:val="24"/>
        </w:rPr>
        <w:t>mposing a punitive cost order against the State Attorney</w:t>
      </w:r>
      <w:r w:rsidR="00622F79" w:rsidRPr="00685FB7">
        <w:rPr>
          <w:rFonts w:ascii="Arial" w:hAnsi="Arial" w:cs="Arial"/>
          <w:sz w:val="24"/>
          <w:szCs w:val="24"/>
        </w:rPr>
        <w:t xml:space="preserve"> in the circumstances of this case would be misplaced and inappropriate for the reasons set out earlier. </w:t>
      </w:r>
      <w:r w:rsidR="00AB0D75" w:rsidRPr="00685FB7">
        <w:rPr>
          <w:rFonts w:ascii="Arial" w:hAnsi="Arial" w:cs="Arial"/>
          <w:sz w:val="24"/>
          <w:szCs w:val="24"/>
        </w:rPr>
        <w:t xml:space="preserve"> </w:t>
      </w:r>
    </w:p>
    <w:p w14:paraId="28612A4B" w14:textId="77777777" w:rsidR="00BD50EA" w:rsidRDefault="00BD50EA" w:rsidP="00BD50EA">
      <w:pPr>
        <w:pStyle w:val="ListParagraph"/>
        <w:spacing w:line="480" w:lineRule="auto"/>
        <w:jc w:val="both"/>
        <w:rPr>
          <w:rFonts w:ascii="Arial" w:hAnsi="Arial" w:cs="Arial"/>
          <w:i/>
          <w:sz w:val="24"/>
          <w:szCs w:val="24"/>
        </w:rPr>
      </w:pPr>
    </w:p>
    <w:p w14:paraId="32A047ED" w14:textId="77777777" w:rsidR="00BD50EA" w:rsidRPr="00BD50EA" w:rsidRDefault="00BD50EA" w:rsidP="00BD50EA">
      <w:pPr>
        <w:pStyle w:val="ListParagraph"/>
        <w:spacing w:line="480" w:lineRule="auto"/>
        <w:jc w:val="both"/>
        <w:rPr>
          <w:rFonts w:ascii="Arial" w:hAnsi="Arial" w:cs="Arial"/>
          <w:i/>
          <w:sz w:val="24"/>
          <w:szCs w:val="24"/>
        </w:rPr>
      </w:pPr>
      <w:r>
        <w:rPr>
          <w:rFonts w:ascii="Arial" w:hAnsi="Arial" w:cs="Arial"/>
          <w:i/>
          <w:sz w:val="24"/>
          <w:szCs w:val="24"/>
        </w:rPr>
        <w:t>(</w:t>
      </w:r>
      <w:r w:rsidR="00031496">
        <w:rPr>
          <w:rFonts w:ascii="Arial" w:hAnsi="Arial" w:cs="Arial"/>
          <w:i/>
          <w:sz w:val="24"/>
          <w:szCs w:val="24"/>
        </w:rPr>
        <w:t>c)</w:t>
      </w:r>
      <w:r>
        <w:rPr>
          <w:rFonts w:ascii="Arial" w:hAnsi="Arial" w:cs="Arial"/>
          <w:i/>
          <w:sz w:val="24"/>
          <w:szCs w:val="24"/>
        </w:rPr>
        <w:t xml:space="preserve"> </w:t>
      </w:r>
      <w:r w:rsidRPr="006E7AFC">
        <w:rPr>
          <w:rFonts w:ascii="Arial" w:hAnsi="Arial" w:cs="Arial"/>
          <w:b/>
          <w:i/>
          <w:sz w:val="24"/>
          <w:szCs w:val="24"/>
        </w:rPr>
        <w:t>Rule 67A of the Uniform Rules of Court</w:t>
      </w:r>
    </w:p>
    <w:p w14:paraId="49F43048" w14:textId="085FCEDA" w:rsidR="00BD50EA" w:rsidRPr="00685FB7" w:rsidRDefault="00685FB7" w:rsidP="00685FB7">
      <w:pPr>
        <w:tabs>
          <w:tab w:val="left" w:pos="567"/>
        </w:tabs>
        <w:spacing w:line="480" w:lineRule="auto"/>
        <w:jc w:val="both"/>
        <w:rPr>
          <w:rFonts w:ascii="Arial" w:hAnsi="Arial" w:cs="Arial"/>
          <w:b/>
          <w:sz w:val="24"/>
          <w:szCs w:val="24"/>
          <w:u w:val="single"/>
        </w:rPr>
      </w:pPr>
      <w:r w:rsidRPr="00497114">
        <w:rPr>
          <w:rFonts w:ascii="Arial" w:hAnsi="Arial" w:cs="Arial"/>
          <w:sz w:val="24"/>
          <w:szCs w:val="24"/>
          <w:lang w:val="en-ZA"/>
        </w:rPr>
        <w:t xml:space="preserve">[25]     </w:t>
      </w:r>
      <w:r w:rsidRPr="00497114">
        <w:rPr>
          <w:rFonts w:ascii="Arial" w:hAnsi="Arial" w:cs="Arial"/>
          <w:sz w:val="24"/>
          <w:szCs w:val="24"/>
          <w:lang w:val="en-ZA"/>
        </w:rPr>
        <w:tab/>
      </w:r>
      <w:r w:rsidR="00662758" w:rsidRPr="00685FB7">
        <w:rPr>
          <w:rFonts w:ascii="Arial" w:hAnsi="Arial" w:cs="Arial"/>
          <w:sz w:val="24"/>
          <w:szCs w:val="24"/>
        </w:rPr>
        <w:t xml:space="preserve">Rule 67A(3) which came into effect on 12 April 2024, requires that part-and-party costs in the High Court be awarded on Scale A, B or C, respectively. This amendment applies prospectively </w:t>
      </w:r>
      <w:r w:rsidR="00F663E9" w:rsidRPr="00685FB7">
        <w:rPr>
          <w:rFonts w:ascii="Arial" w:hAnsi="Arial" w:cs="Arial"/>
          <w:sz w:val="24"/>
          <w:szCs w:val="24"/>
        </w:rPr>
        <w:t xml:space="preserve">in relation to work done on a matter after 12 April 2024. </w:t>
      </w:r>
      <w:r w:rsidR="00497114" w:rsidRPr="00685FB7">
        <w:rPr>
          <w:rFonts w:ascii="Arial" w:hAnsi="Arial" w:cs="Arial"/>
          <w:sz w:val="24"/>
          <w:szCs w:val="24"/>
        </w:rPr>
        <w:t>Rule 67A addressed itself only to awards of costs as between party-and-party with the purpose to exercise control over the rate at which counsel’s fees can be recovered under such an award.</w:t>
      </w:r>
    </w:p>
    <w:p w14:paraId="37ED0430" w14:textId="77777777" w:rsidR="00497114" w:rsidRPr="00497114" w:rsidRDefault="00497114" w:rsidP="00497114">
      <w:pPr>
        <w:pStyle w:val="ListParagraph"/>
        <w:spacing w:line="480" w:lineRule="auto"/>
        <w:ind w:left="0"/>
        <w:jc w:val="both"/>
        <w:rPr>
          <w:rFonts w:ascii="Arial" w:hAnsi="Arial" w:cs="Arial"/>
          <w:b/>
          <w:sz w:val="24"/>
          <w:szCs w:val="24"/>
          <w:u w:val="single"/>
        </w:rPr>
      </w:pPr>
    </w:p>
    <w:p w14:paraId="1AC66A99" w14:textId="2B8C4048" w:rsidR="00497114" w:rsidRPr="00685FB7" w:rsidRDefault="00685FB7" w:rsidP="00685FB7">
      <w:pPr>
        <w:tabs>
          <w:tab w:val="left" w:pos="567"/>
        </w:tabs>
        <w:spacing w:line="480" w:lineRule="auto"/>
        <w:jc w:val="both"/>
        <w:rPr>
          <w:rFonts w:ascii="Arial" w:hAnsi="Arial" w:cs="Arial"/>
          <w:b/>
          <w:sz w:val="24"/>
          <w:szCs w:val="24"/>
          <w:u w:val="single"/>
        </w:rPr>
      </w:pPr>
      <w:r w:rsidRPr="00BD50EA">
        <w:rPr>
          <w:rFonts w:ascii="Arial" w:hAnsi="Arial" w:cs="Arial"/>
          <w:sz w:val="24"/>
          <w:szCs w:val="24"/>
          <w:lang w:val="en-ZA"/>
        </w:rPr>
        <w:t xml:space="preserve">[26]     </w:t>
      </w:r>
      <w:r w:rsidRPr="00BD50EA">
        <w:rPr>
          <w:rFonts w:ascii="Arial" w:hAnsi="Arial" w:cs="Arial"/>
          <w:sz w:val="24"/>
          <w:szCs w:val="24"/>
          <w:lang w:val="en-ZA"/>
        </w:rPr>
        <w:tab/>
      </w:r>
      <w:r w:rsidR="00497114" w:rsidRPr="00685FB7">
        <w:rPr>
          <w:rFonts w:ascii="Arial" w:hAnsi="Arial" w:cs="Arial"/>
          <w:sz w:val="24"/>
          <w:szCs w:val="24"/>
        </w:rPr>
        <w:t xml:space="preserve">Counsel for Plaintiffs and Defendants were </w:t>
      </w:r>
      <w:r w:rsidR="00497114" w:rsidRPr="00685FB7">
        <w:rPr>
          <w:rFonts w:ascii="Arial" w:hAnsi="Arial" w:cs="Arial"/>
          <w:i/>
          <w:sz w:val="24"/>
          <w:szCs w:val="24"/>
        </w:rPr>
        <w:t>ad idem</w:t>
      </w:r>
      <w:r w:rsidR="00497114" w:rsidRPr="00685FB7">
        <w:rPr>
          <w:rFonts w:ascii="Arial" w:hAnsi="Arial" w:cs="Arial"/>
          <w:sz w:val="24"/>
          <w:szCs w:val="24"/>
        </w:rPr>
        <w:t xml:space="preserve"> on the appropriate scale. I find no reason to differ from them in this regard and accordingly order that Counsel’s fees be taxed on a Scale “B” given the clearly identified features of this case that were unusually complex, important and valuable to all the Plaintiffs who have patiently waited for</w:t>
      </w:r>
      <w:r w:rsidR="00F10474" w:rsidRPr="00685FB7">
        <w:rPr>
          <w:rFonts w:ascii="Arial" w:hAnsi="Arial" w:cs="Arial"/>
          <w:sz w:val="24"/>
          <w:szCs w:val="24"/>
        </w:rPr>
        <w:t xml:space="preserve"> closure.</w:t>
      </w:r>
    </w:p>
    <w:p w14:paraId="48F43C29" w14:textId="77777777" w:rsidR="007874C0" w:rsidRDefault="007874C0" w:rsidP="00C96371">
      <w:pPr>
        <w:pStyle w:val="ListParagraph"/>
        <w:spacing w:line="480" w:lineRule="auto"/>
        <w:ind w:left="0"/>
        <w:jc w:val="both"/>
        <w:rPr>
          <w:rFonts w:ascii="Arial" w:hAnsi="Arial" w:cs="Arial"/>
          <w:b/>
          <w:sz w:val="24"/>
          <w:szCs w:val="24"/>
        </w:rPr>
      </w:pPr>
    </w:p>
    <w:p w14:paraId="4B3F3798" w14:textId="77777777" w:rsidR="002630F2" w:rsidRDefault="002630F2" w:rsidP="00C96371">
      <w:pPr>
        <w:pStyle w:val="ListParagraph"/>
        <w:spacing w:line="480" w:lineRule="auto"/>
        <w:ind w:left="0"/>
        <w:jc w:val="both"/>
        <w:rPr>
          <w:rFonts w:ascii="Arial" w:hAnsi="Arial" w:cs="Arial"/>
          <w:b/>
          <w:sz w:val="24"/>
          <w:szCs w:val="24"/>
        </w:rPr>
      </w:pPr>
    </w:p>
    <w:p w14:paraId="0D72528A" w14:textId="77777777" w:rsidR="002630F2" w:rsidRDefault="002630F2" w:rsidP="00C96371">
      <w:pPr>
        <w:pStyle w:val="ListParagraph"/>
        <w:spacing w:line="480" w:lineRule="auto"/>
        <w:ind w:left="0"/>
        <w:jc w:val="both"/>
        <w:rPr>
          <w:rFonts w:ascii="Arial" w:hAnsi="Arial" w:cs="Arial"/>
          <w:b/>
          <w:sz w:val="24"/>
          <w:szCs w:val="24"/>
        </w:rPr>
      </w:pPr>
    </w:p>
    <w:p w14:paraId="5CB4BCCC" w14:textId="5344B220" w:rsidR="004D77C7" w:rsidRPr="009F3B35" w:rsidRDefault="004D77C7" w:rsidP="00C96371">
      <w:pPr>
        <w:pStyle w:val="ListParagraph"/>
        <w:spacing w:line="480" w:lineRule="auto"/>
        <w:ind w:left="0"/>
        <w:jc w:val="both"/>
        <w:rPr>
          <w:b/>
        </w:rPr>
      </w:pPr>
      <w:r w:rsidRPr="009F3B35">
        <w:rPr>
          <w:rFonts w:ascii="Arial" w:hAnsi="Arial" w:cs="Arial"/>
          <w:b/>
          <w:sz w:val="24"/>
          <w:szCs w:val="24"/>
        </w:rPr>
        <w:lastRenderedPageBreak/>
        <w:t>Order</w:t>
      </w:r>
    </w:p>
    <w:p w14:paraId="1CBBB807" w14:textId="62FE9E05" w:rsidR="004D77C7" w:rsidRPr="00685FB7" w:rsidRDefault="00685FB7" w:rsidP="00685FB7">
      <w:pPr>
        <w:tabs>
          <w:tab w:val="left" w:pos="567"/>
        </w:tabs>
        <w:spacing w:line="480" w:lineRule="auto"/>
        <w:jc w:val="both"/>
        <w:rPr>
          <w:rFonts w:ascii="Arial" w:hAnsi="Arial" w:cs="Arial"/>
          <w:sz w:val="24"/>
          <w:szCs w:val="24"/>
        </w:rPr>
      </w:pPr>
      <w:r w:rsidRPr="003C112E">
        <w:rPr>
          <w:rFonts w:ascii="Arial" w:hAnsi="Arial" w:cs="Arial"/>
          <w:sz w:val="24"/>
          <w:szCs w:val="24"/>
          <w:lang w:val="en-ZA"/>
        </w:rPr>
        <w:t xml:space="preserve">[27]     </w:t>
      </w:r>
      <w:r w:rsidRPr="003C112E">
        <w:rPr>
          <w:rFonts w:ascii="Arial" w:hAnsi="Arial" w:cs="Arial"/>
          <w:sz w:val="24"/>
          <w:szCs w:val="24"/>
          <w:lang w:val="en-ZA"/>
        </w:rPr>
        <w:tab/>
      </w:r>
      <w:r w:rsidR="00B41F63" w:rsidRPr="00685FB7">
        <w:rPr>
          <w:rFonts w:ascii="Arial" w:hAnsi="Arial" w:cs="Arial"/>
          <w:sz w:val="24"/>
          <w:szCs w:val="24"/>
        </w:rPr>
        <w:t xml:space="preserve">In the result, </w:t>
      </w:r>
      <w:r w:rsidR="004D77C7" w:rsidRPr="00685FB7">
        <w:rPr>
          <w:rFonts w:ascii="Arial" w:hAnsi="Arial" w:cs="Arial"/>
          <w:sz w:val="24"/>
          <w:szCs w:val="24"/>
        </w:rPr>
        <w:t>the following order is made:</w:t>
      </w:r>
    </w:p>
    <w:p w14:paraId="688F96D1" w14:textId="7A1FAA11" w:rsidR="009205DC" w:rsidRPr="00685FB7" w:rsidRDefault="00685FB7" w:rsidP="00685FB7">
      <w:pPr>
        <w:spacing w:line="480" w:lineRule="auto"/>
        <w:ind w:left="720" w:hanging="360"/>
        <w:jc w:val="both"/>
        <w:rPr>
          <w:rFonts w:ascii="Arial" w:hAnsi="Arial" w:cs="Arial"/>
          <w:sz w:val="24"/>
          <w:szCs w:val="24"/>
        </w:rPr>
      </w:pPr>
      <w:r>
        <w:rPr>
          <w:rFonts w:ascii="Arial" w:hAnsi="Arial" w:cs="Arial"/>
          <w:sz w:val="24"/>
          <w:szCs w:val="24"/>
          <w:lang w:val="en-ZA"/>
        </w:rPr>
        <w:t>1.</w:t>
      </w:r>
      <w:r>
        <w:rPr>
          <w:rFonts w:ascii="Arial" w:hAnsi="Arial" w:cs="Arial"/>
          <w:sz w:val="24"/>
          <w:szCs w:val="24"/>
          <w:lang w:val="en-ZA"/>
        </w:rPr>
        <w:tab/>
      </w:r>
      <w:r w:rsidR="003C112E" w:rsidRPr="00685FB7">
        <w:rPr>
          <w:rFonts w:ascii="Arial" w:hAnsi="Arial" w:cs="Arial"/>
          <w:sz w:val="24"/>
          <w:szCs w:val="24"/>
        </w:rPr>
        <w:t xml:space="preserve">The Defendant is ordered to pay to the Plaintiffs the sum of R1 436 937 (One million four hundred and </w:t>
      </w:r>
      <w:r w:rsidR="009205DC" w:rsidRPr="00685FB7">
        <w:rPr>
          <w:rFonts w:ascii="Arial" w:hAnsi="Arial" w:cs="Arial"/>
          <w:sz w:val="24"/>
          <w:szCs w:val="24"/>
        </w:rPr>
        <w:t>thirty-six</w:t>
      </w:r>
      <w:r w:rsidR="003C112E" w:rsidRPr="00685FB7">
        <w:rPr>
          <w:rFonts w:ascii="Arial" w:hAnsi="Arial" w:cs="Arial"/>
          <w:sz w:val="24"/>
          <w:szCs w:val="24"/>
        </w:rPr>
        <w:t xml:space="preserve"> thousand nine hundred and </w:t>
      </w:r>
      <w:r w:rsidR="009205DC" w:rsidRPr="00685FB7">
        <w:rPr>
          <w:rFonts w:ascii="Arial" w:hAnsi="Arial" w:cs="Arial"/>
          <w:sz w:val="24"/>
          <w:szCs w:val="24"/>
        </w:rPr>
        <w:t>thirty-seven</w:t>
      </w:r>
      <w:r w:rsidR="003C112E" w:rsidRPr="00685FB7">
        <w:rPr>
          <w:rFonts w:ascii="Arial" w:hAnsi="Arial" w:cs="Arial"/>
          <w:sz w:val="24"/>
          <w:szCs w:val="24"/>
        </w:rPr>
        <w:t xml:space="preserve"> rand)</w:t>
      </w:r>
      <w:r w:rsidR="009205DC" w:rsidRPr="00685FB7">
        <w:rPr>
          <w:rFonts w:ascii="Arial" w:hAnsi="Arial" w:cs="Arial"/>
          <w:sz w:val="24"/>
          <w:szCs w:val="24"/>
        </w:rPr>
        <w:t xml:space="preserve"> by means of electronic transfer to the Plaintiffs</w:t>
      </w:r>
      <w:r w:rsidR="00BB17F6" w:rsidRPr="00685FB7">
        <w:rPr>
          <w:rFonts w:ascii="Arial" w:hAnsi="Arial" w:cs="Arial"/>
          <w:sz w:val="24"/>
          <w:szCs w:val="24"/>
        </w:rPr>
        <w:t>’</w:t>
      </w:r>
      <w:r w:rsidR="009205DC" w:rsidRPr="00685FB7">
        <w:rPr>
          <w:rFonts w:ascii="Arial" w:hAnsi="Arial" w:cs="Arial"/>
          <w:sz w:val="24"/>
          <w:szCs w:val="24"/>
        </w:rPr>
        <w:t xml:space="preserve"> Attorneys of record, within 14 (fourteen) court days from date of this order, which amount is calculated as follows:</w:t>
      </w:r>
    </w:p>
    <w:p w14:paraId="6799CB8E" w14:textId="28BDC8D3" w:rsidR="009205DC" w:rsidRPr="00685FB7" w:rsidRDefault="00685FB7" w:rsidP="00685FB7">
      <w:pPr>
        <w:spacing w:line="480" w:lineRule="auto"/>
        <w:ind w:left="1080" w:hanging="360"/>
        <w:jc w:val="both"/>
        <w:rPr>
          <w:rFonts w:ascii="Arial" w:hAnsi="Arial" w:cs="Arial"/>
          <w:sz w:val="24"/>
          <w:szCs w:val="24"/>
        </w:rPr>
      </w:pPr>
      <w:r>
        <w:rPr>
          <w:rFonts w:ascii="Arial" w:hAnsi="Arial" w:cs="Arial"/>
          <w:sz w:val="24"/>
          <w:szCs w:val="24"/>
          <w:lang w:val="en-ZA"/>
        </w:rPr>
        <w:t>(a)</w:t>
      </w:r>
      <w:r>
        <w:rPr>
          <w:rFonts w:ascii="Arial" w:hAnsi="Arial" w:cs="Arial"/>
          <w:sz w:val="24"/>
          <w:szCs w:val="24"/>
          <w:lang w:val="en-ZA"/>
        </w:rPr>
        <w:tab/>
      </w:r>
      <w:r w:rsidR="009205DC" w:rsidRPr="00685FB7">
        <w:rPr>
          <w:rFonts w:ascii="Arial" w:hAnsi="Arial" w:cs="Arial"/>
          <w:sz w:val="24"/>
          <w:szCs w:val="24"/>
        </w:rPr>
        <w:t>For the First Plaintiff the sum of R965 658 (</w:t>
      </w:r>
      <w:r w:rsidR="001C5192" w:rsidRPr="00685FB7">
        <w:rPr>
          <w:rFonts w:ascii="Arial" w:hAnsi="Arial" w:cs="Arial"/>
          <w:sz w:val="24"/>
          <w:szCs w:val="24"/>
        </w:rPr>
        <w:t>n</w:t>
      </w:r>
      <w:r w:rsidR="009205DC" w:rsidRPr="00685FB7">
        <w:rPr>
          <w:rFonts w:ascii="Arial" w:hAnsi="Arial" w:cs="Arial"/>
          <w:sz w:val="24"/>
          <w:szCs w:val="24"/>
        </w:rPr>
        <w:t>ine hundred and sixty-five thousand six hundred and fifty-eight rand);</w:t>
      </w:r>
    </w:p>
    <w:p w14:paraId="1222FB8D" w14:textId="0CF047F5" w:rsidR="009205DC" w:rsidRPr="00685FB7" w:rsidRDefault="00685FB7" w:rsidP="00685FB7">
      <w:pPr>
        <w:spacing w:line="480" w:lineRule="auto"/>
        <w:ind w:left="1080" w:hanging="360"/>
        <w:jc w:val="both"/>
        <w:rPr>
          <w:rFonts w:ascii="Arial" w:hAnsi="Arial" w:cs="Arial"/>
          <w:sz w:val="24"/>
          <w:szCs w:val="24"/>
        </w:rPr>
      </w:pPr>
      <w:r>
        <w:rPr>
          <w:rFonts w:ascii="Arial" w:hAnsi="Arial" w:cs="Arial"/>
          <w:sz w:val="24"/>
          <w:szCs w:val="24"/>
          <w:lang w:val="en-ZA"/>
        </w:rPr>
        <w:t>(b)</w:t>
      </w:r>
      <w:r>
        <w:rPr>
          <w:rFonts w:ascii="Arial" w:hAnsi="Arial" w:cs="Arial"/>
          <w:sz w:val="24"/>
          <w:szCs w:val="24"/>
          <w:lang w:val="en-ZA"/>
        </w:rPr>
        <w:tab/>
      </w:r>
      <w:r w:rsidR="009205DC" w:rsidRPr="00685FB7">
        <w:rPr>
          <w:rFonts w:ascii="Arial" w:hAnsi="Arial" w:cs="Arial"/>
          <w:sz w:val="24"/>
          <w:szCs w:val="24"/>
        </w:rPr>
        <w:t>For the Second Plaintiff the sum of R111 867 (</w:t>
      </w:r>
      <w:r w:rsidR="001C5192" w:rsidRPr="00685FB7">
        <w:rPr>
          <w:rFonts w:ascii="Arial" w:hAnsi="Arial" w:cs="Arial"/>
          <w:sz w:val="24"/>
          <w:szCs w:val="24"/>
        </w:rPr>
        <w:t>o</w:t>
      </w:r>
      <w:r w:rsidR="009205DC" w:rsidRPr="00685FB7">
        <w:rPr>
          <w:rFonts w:ascii="Arial" w:hAnsi="Arial" w:cs="Arial"/>
          <w:sz w:val="24"/>
          <w:szCs w:val="24"/>
        </w:rPr>
        <w:t>ne hundred and eleven thousand eight hundred and sixty-seven rand);</w:t>
      </w:r>
    </w:p>
    <w:p w14:paraId="63191874" w14:textId="23ACD106" w:rsidR="009205DC" w:rsidRPr="00685FB7" w:rsidRDefault="00685FB7" w:rsidP="00685FB7">
      <w:pPr>
        <w:spacing w:line="480" w:lineRule="auto"/>
        <w:ind w:left="1080" w:hanging="360"/>
        <w:jc w:val="both"/>
        <w:rPr>
          <w:rFonts w:ascii="Arial" w:hAnsi="Arial" w:cs="Arial"/>
          <w:sz w:val="24"/>
          <w:szCs w:val="24"/>
        </w:rPr>
      </w:pPr>
      <w:r>
        <w:rPr>
          <w:rFonts w:ascii="Arial" w:hAnsi="Arial" w:cs="Arial"/>
          <w:sz w:val="24"/>
          <w:szCs w:val="24"/>
          <w:lang w:val="en-ZA"/>
        </w:rPr>
        <w:t>(c)</w:t>
      </w:r>
      <w:r>
        <w:rPr>
          <w:rFonts w:ascii="Arial" w:hAnsi="Arial" w:cs="Arial"/>
          <w:sz w:val="24"/>
          <w:szCs w:val="24"/>
          <w:lang w:val="en-ZA"/>
        </w:rPr>
        <w:tab/>
      </w:r>
      <w:r w:rsidR="00DA1A72" w:rsidRPr="00685FB7">
        <w:rPr>
          <w:rFonts w:ascii="Arial" w:hAnsi="Arial" w:cs="Arial"/>
          <w:sz w:val="24"/>
          <w:szCs w:val="24"/>
        </w:rPr>
        <w:t>For the Third Plaintiff the sum of R359 412 (</w:t>
      </w:r>
      <w:r w:rsidR="001C5192" w:rsidRPr="00685FB7">
        <w:rPr>
          <w:rFonts w:ascii="Arial" w:hAnsi="Arial" w:cs="Arial"/>
          <w:sz w:val="24"/>
          <w:szCs w:val="24"/>
        </w:rPr>
        <w:t>t</w:t>
      </w:r>
      <w:r w:rsidR="00DA1A72" w:rsidRPr="00685FB7">
        <w:rPr>
          <w:rFonts w:ascii="Arial" w:hAnsi="Arial" w:cs="Arial"/>
          <w:sz w:val="24"/>
          <w:szCs w:val="24"/>
        </w:rPr>
        <w:t xml:space="preserve">hree hundred and </w:t>
      </w:r>
      <w:r w:rsidR="001C5192" w:rsidRPr="00685FB7">
        <w:rPr>
          <w:rFonts w:ascii="Arial" w:hAnsi="Arial" w:cs="Arial"/>
          <w:sz w:val="24"/>
          <w:szCs w:val="24"/>
        </w:rPr>
        <w:t>fifty-nine</w:t>
      </w:r>
      <w:r w:rsidR="00DA1A72" w:rsidRPr="00685FB7">
        <w:rPr>
          <w:rFonts w:ascii="Arial" w:hAnsi="Arial" w:cs="Arial"/>
          <w:sz w:val="24"/>
          <w:szCs w:val="24"/>
        </w:rPr>
        <w:t xml:space="preserve"> thousand four hundred and twelve rand).</w:t>
      </w:r>
    </w:p>
    <w:p w14:paraId="54CBF7E0" w14:textId="4C37EC7C" w:rsidR="003C112E" w:rsidRPr="00685FB7" w:rsidRDefault="00685FB7" w:rsidP="00685FB7">
      <w:pPr>
        <w:spacing w:line="480" w:lineRule="auto"/>
        <w:ind w:left="720" w:hanging="360"/>
        <w:jc w:val="both"/>
        <w:rPr>
          <w:rFonts w:ascii="Arial" w:hAnsi="Arial" w:cs="Arial"/>
          <w:sz w:val="24"/>
          <w:szCs w:val="24"/>
        </w:rPr>
      </w:pPr>
      <w:r>
        <w:rPr>
          <w:rFonts w:ascii="Arial" w:hAnsi="Arial" w:cs="Arial"/>
          <w:sz w:val="24"/>
          <w:szCs w:val="24"/>
          <w:lang w:val="en-ZA"/>
        </w:rPr>
        <w:t>2.</w:t>
      </w:r>
      <w:r>
        <w:rPr>
          <w:rFonts w:ascii="Arial" w:hAnsi="Arial" w:cs="Arial"/>
          <w:sz w:val="24"/>
          <w:szCs w:val="24"/>
          <w:lang w:val="en-ZA"/>
        </w:rPr>
        <w:tab/>
      </w:r>
      <w:r w:rsidR="001C5192" w:rsidRPr="00685FB7">
        <w:rPr>
          <w:rFonts w:ascii="Arial" w:hAnsi="Arial" w:cs="Arial"/>
          <w:sz w:val="24"/>
          <w:szCs w:val="24"/>
        </w:rPr>
        <w:t xml:space="preserve">The Defendant is to pay to the First Plaintiff the sum of R10 270 (Ten thousand two hundred and seventy rand) </w:t>
      </w:r>
      <w:r w:rsidR="00D52BD0" w:rsidRPr="00685FB7">
        <w:rPr>
          <w:rFonts w:ascii="Arial" w:hAnsi="Arial" w:cs="Arial"/>
          <w:sz w:val="24"/>
          <w:szCs w:val="24"/>
        </w:rPr>
        <w:t>for funeral expenses by means of electronic transfer to the Plaintiffs</w:t>
      </w:r>
      <w:r w:rsidR="00BB17F6" w:rsidRPr="00685FB7">
        <w:rPr>
          <w:rFonts w:ascii="Arial" w:hAnsi="Arial" w:cs="Arial"/>
          <w:sz w:val="24"/>
          <w:szCs w:val="24"/>
        </w:rPr>
        <w:t>’</w:t>
      </w:r>
      <w:r w:rsidR="00D52BD0" w:rsidRPr="00685FB7">
        <w:rPr>
          <w:rFonts w:ascii="Arial" w:hAnsi="Arial" w:cs="Arial"/>
          <w:sz w:val="24"/>
          <w:szCs w:val="24"/>
        </w:rPr>
        <w:t xml:space="preserve"> Attorneys of record within 14 (fourteen) court days from date of this order;</w:t>
      </w:r>
    </w:p>
    <w:p w14:paraId="2FF12F22" w14:textId="570644AD" w:rsidR="00FD3996" w:rsidRPr="00685FB7" w:rsidRDefault="00685FB7" w:rsidP="00685FB7">
      <w:pPr>
        <w:spacing w:line="480" w:lineRule="auto"/>
        <w:ind w:left="720" w:hanging="360"/>
        <w:jc w:val="both"/>
        <w:rPr>
          <w:rFonts w:ascii="Arial" w:hAnsi="Arial" w:cs="Arial"/>
          <w:sz w:val="24"/>
          <w:szCs w:val="24"/>
        </w:rPr>
      </w:pPr>
      <w:r w:rsidRPr="00FD3996">
        <w:rPr>
          <w:rFonts w:ascii="Arial" w:hAnsi="Arial" w:cs="Arial"/>
          <w:sz w:val="24"/>
          <w:szCs w:val="24"/>
          <w:lang w:val="en-ZA"/>
        </w:rPr>
        <w:t>3.</w:t>
      </w:r>
      <w:r w:rsidRPr="00FD3996">
        <w:rPr>
          <w:rFonts w:ascii="Arial" w:hAnsi="Arial" w:cs="Arial"/>
          <w:sz w:val="24"/>
          <w:szCs w:val="24"/>
          <w:lang w:val="en-ZA"/>
        </w:rPr>
        <w:tab/>
      </w:r>
      <w:r w:rsidR="00A604FD" w:rsidRPr="00685FB7">
        <w:rPr>
          <w:rFonts w:ascii="Arial" w:hAnsi="Arial" w:cs="Arial"/>
          <w:sz w:val="24"/>
          <w:szCs w:val="24"/>
        </w:rPr>
        <w:t>The Defendant is ordered to pay the Plaintiffs’ costs relating to the merits of the of trial on a party-and-party scale, which costs should include the costs of counsel together with the costs of the expert witnesses, Dr Linda Liebenberg (pathologist) and Ms EP van Wyk (forensi</w:t>
      </w:r>
      <w:r w:rsidR="00FD3996" w:rsidRPr="00685FB7">
        <w:rPr>
          <w:rFonts w:ascii="Arial" w:hAnsi="Arial" w:cs="Arial"/>
          <w:sz w:val="24"/>
          <w:szCs w:val="24"/>
        </w:rPr>
        <w:t>c handwriting examiner), which cost shall include the trial costs incurred for the following trial dates including the dates of postpone</w:t>
      </w:r>
      <w:r w:rsidR="00BB17F6" w:rsidRPr="00685FB7">
        <w:rPr>
          <w:rFonts w:ascii="Arial" w:hAnsi="Arial" w:cs="Arial"/>
          <w:sz w:val="24"/>
          <w:szCs w:val="24"/>
        </w:rPr>
        <w:t>ment</w:t>
      </w:r>
      <w:r w:rsidR="00FD3996" w:rsidRPr="00685FB7">
        <w:rPr>
          <w:rFonts w:ascii="Arial" w:hAnsi="Arial" w:cs="Arial"/>
          <w:sz w:val="24"/>
          <w:szCs w:val="24"/>
        </w:rPr>
        <w:t xml:space="preserve">s which were 2 March 2017, 6 March 2017, 7 March 2017, 2 May 2017, 4 May 2017, 14 August 2017, 4 December 2017, 7 </w:t>
      </w:r>
      <w:r w:rsidR="00FD3996" w:rsidRPr="00685FB7">
        <w:rPr>
          <w:rFonts w:ascii="Arial" w:hAnsi="Arial" w:cs="Arial"/>
          <w:sz w:val="24"/>
          <w:szCs w:val="24"/>
        </w:rPr>
        <w:lastRenderedPageBreak/>
        <w:t>December 2017, 26 March 2018, 28 March 2018, 29 March 2018 and 13 August 2019, respectively;</w:t>
      </w:r>
    </w:p>
    <w:p w14:paraId="52A9EE43" w14:textId="6FDE507B" w:rsidR="00FD3996" w:rsidRPr="00685FB7" w:rsidRDefault="00685FB7" w:rsidP="00685FB7">
      <w:pPr>
        <w:spacing w:line="480" w:lineRule="auto"/>
        <w:ind w:left="720" w:hanging="360"/>
        <w:jc w:val="both"/>
        <w:rPr>
          <w:rFonts w:ascii="Arial" w:hAnsi="Arial" w:cs="Arial"/>
          <w:sz w:val="24"/>
          <w:szCs w:val="24"/>
        </w:rPr>
      </w:pPr>
      <w:r>
        <w:rPr>
          <w:rFonts w:ascii="Arial" w:hAnsi="Arial" w:cs="Arial"/>
          <w:sz w:val="24"/>
          <w:szCs w:val="24"/>
          <w:lang w:val="en-ZA"/>
        </w:rPr>
        <w:t>4.</w:t>
      </w:r>
      <w:r>
        <w:rPr>
          <w:rFonts w:ascii="Arial" w:hAnsi="Arial" w:cs="Arial"/>
          <w:sz w:val="24"/>
          <w:szCs w:val="24"/>
          <w:lang w:val="en-ZA"/>
        </w:rPr>
        <w:tab/>
      </w:r>
      <w:r w:rsidR="00FD3996" w:rsidRPr="00685FB7">
        <w:rPr>
          <w:rFonts w:ascii="Arial" w:hAnsi="Arial" w:cs="Arial"/>
          <w:sz w:val="24"/>
          <w:szCs w:val="24"/>
        </w:rPr>
        <w:t>The Defendant is ordered to pay the Plaintiffs</w:t>
      </w:r>
      <w:r w:rsidR="00076E5A" w:rsidRPr="00685FB7">
        <w:rPr>
          <w:rFonts w:ascii="Arial" w:hAnsi="Arial" w:cs="Arial"/>
          <w:sz w:val="24"/>
          <w:szCs w:val="24"/>
        </w:rPr>
        <w:t>’</w:t>
      </w:r>
      <w:r w:rsidR="00FD3996" w:rsidRPr="00685FB7">
        <w:rPr>
          <w:rFonts w:ascii="Arial" w:hAnsi="Arial" w:cs="Arial"/>
          <w:sz w:val="24"/>
          <w:szCs w:val="24"/>
        </w:rPr>
        <w:t xml:space="preserve"> costs incurred for the quantum trial on a party-and-party scale for the following trial dates including dates of postponement which were, 23 November 2023, 30 November 2023, 13 March 2024, 14 March 2024, 17 April 2024, 22 April 2024 and </w:t>
      </w:r>
      <w:r w:rsidR="00E90A3F" w:rsidRPr="00685FB7">
        <w:rPr>
          <w:rFonts w:ascii="Arial" w:hAnsi="Arial" w:cs="Arial"/>
          <w:sz w:val="24"/>
          <w:szCs w:val="24"/>
        </w:rPr>
        <w:t xml:space="preserve">20 May 2024; </w:t>
      </w:r>
      <w:r w:rsidR="00FD3996" w:rsidRPr="00685FB7">
        <w:rPr>
          <w:rFonts w:ascii="Arial" w:hAnsi="Arial" w:cs="Arial"/>
          <w:sz w:val="24"/>
          <w:szCs w:val="24"/>
        </w:rPr>
        <w:t xml:space="preserve">which costs shall include the costs of Counsel together with the costs of the </w:t>
      </w:r>
      <w:r w:rsidR="009369AD" w:rsidRPr="00685FB7">
        <w:rPr>
          <w:rFonts w:ascii="Arial" w:hAnsi="Arial" w:cs="Arial"/>
          <w:sz w:val="24"/>
          <w:szCs w:val="24"/>
        </w:rPr>
        <w:t>experts</w:t>
      </w:r>
      <w:r w:rsidR="00076E5A" w:rsidRPr="00685FB7">
        <w:rPr>
          <w:rFonts w:ascii="Arial" w:hAnsi="Arial" w:cs="Arial"/>
          <w:sz w:val="24"/>
          <w:szCs w:val="24"/>
        </w:rPr>
        <w:t>,</w:t>
      </w:r>
      <w:r w:rsidR="00FD3996" w:rsidRPr="00685FB7">
        <w:rPr>
          <w:rFonts w:ascii="Arial" w:hAnsi="Arial" w:cs="Arial"/>
          <w:sz w:val="24"/>
          <w:szCs w:val="24"/>
        </w:rPr>
        <w:t xml:space="preserve"> Dr Hannes Swart and Arch Actuarial </w:t>
      </w:r>
      <w:r w:rsidR="00E90A3F" w:rsidRPr="00685FB7">
        <w:rPr>
          <w:rFonts w:ascii="Arial" w:hAnsi="Arial" w:cs="Arial"/>
          <w:sz w:val="24"/>
          <w:szCs w:val="24"/>
        </w:rPr>
        <w:t>C</w:t>
      </w:r>
      <w:r w:rsidR="00FD3996" w:rsidRPr="00685FB7">
        <w:rPr>
          <w:rFonts w:ascii="Arial" w:hAnsi="Arial" w:cs="Arial"/>
          <w:sz w:val="24"/>
          <w:szCs w:val="24"/>
        </w:rPr>
        <w:t xml:space="preserve">onsulting </w:t>
      </w:r>
      <w:r w:rsidR="00E90A3F" w:rsidRPr="00685FB7">
        <w:rPr>
          <w:rFonts w:ascii="Arial" w:hAnsi="Arial" w:cs="Arial"/>
          <w:sz w:val="24"/>
          <w:szCs w:val="24"/>
        </w:rPr>
        <w:t>CC.</w:t>
      </w:r>
    </w:p>
    <w:p w14:paraId="5C26620C" w14:textId="6D93B44D" w:rsidR="009369AD" w:rsidRPr="00685FB7" w:rsidRDefault="00685FB7" w:rsidP="00685FB7">
      <w:pPr>
        <w:spacing w:line="480" w:lineRule="auto"/>
        <w:ind w:left="720" w:hanging="360"/>
        <w:jc w:val="both"/>
        <w:rPr>
          <w:rFonts w:ascii="Arial" w:hAnsi="Arial" w:cs="Arial"/>
          <w:sz w:val="24"/>
          <w:szCs w:val="24"/>
        </w:rPr>
      </w:pPr>
      <w:r>
        <w:rPr>
          <w:rFonts w:ascii="Arial" w:hAnsi="Arial" w:cs="Arial"/>
          <w:sz w:val="24"/>
          <w:szCs w:val="24"/>
          <w:lang w:val="en-ZA"/>
        </w:rPr>
        <w:t>5.</w:t>
      </w:r>
      <w:r>
        <w:rPr>
          <w:rFonts w:ascii="Arial" w:hAnsi="Arial" w:cs="Arial"/>
          <w:sz w:val="24"/>
          <w:szCs w:val="24"/>
          <w:lang w:val="en-ZA"/>
        </w:rPr>
        <w:tab/>
      </w:r>
      <w:r w:rsidR="004307F0" w:rsidRPr="00685FB7">
        <w:rPr>
          <w:rFonts w:ascii="Arial" w:hAnsi="Arial" w:cs="Arial"/>
          <w:sz w:val="24"/>
          <w:szCs w:val="24"/>
        </w:rPr>
        <w:t>In terms of Rule 67A(3), i</w:t>
      </w:r>
      <w:r w:rsidR="009369AD" w:rsidRPr="00685FB7">
        <w:rPr>
          <w:rFonts w:ascii="Arial" w:hAnsi="Arial" w:cs="Arial"/>
          <w:sz w:val="24"/>
          <w:szCs w:val="24"/>
        </w:rPr>
        <w:t xml:space="preserve">t is ordered that the recovery of Counsel’s fees following 12 April 2024 </w:t>
      </w:r>
      <w:r w:rsidR="004307F0" w:rsidRPr="00685FB7">
        <w:rPr>
          <w:rFonts w:ascii="Arial" w:hAnsi="Arial" w:cs="Arial"/>
          <w:sz w:val="24"/>
          <w:szCs w:val="24"/>
        </w:rPr>
        <w:t>is directed to be on Scale “B”.</w:t>
      </w:r>
    </w:p>
    <w:p w14:paraId="478C3ACE" w14:textId="77777777" w:rsidR="004307F0" w:rsidRPr="00E90A3F" w:rsidRDefault="004307F0" w:rsidP="004307F0">
      <w:pPr>
        <w:pStyle w:val="ListParagraph"/>
        <w:spacing w:line="480" w:lineRule="auto"/>
        <w:jc w:val="both"/>
        <w:rPr>
          <w:rFonts w:ascii="Arial" w:hAnsi="Arial" w:cs="Arial"/>
          <w:sz w:val="24"/>
          <w:szCs w:val="24"/>
        </w:rPr>
      </w:pPr>
    </w:p>
    <w:p w14:paraId="69B8BF82" w14:textId="54CA70A5" w:rsidR="004D77C7" w:rsidRDefault="004D77C7" w:rsidP="00C96371">
      <w:pPr>
        <w:spacing w:line="240" w:lineRule="auto"/>
        <w:jc w:val="both"/>
      </w:pPr>
      <w:r>
        <w:tab/>
      </w:r>
      <w:r>
        <w:tab/>
      </w:r>
      <w:r>
        <w:tab/>
      </w:r>
      <w:r>
        <w:tab/>
      </w:r>
      <w:r>
        <w:tab/>
      </w:r>
      <w:r>
        <w:tab/>
      </w:r>
      <w:r>
        <w:tab/>
        <w:t>__________________________</w:t>
      </w:r>
      <w:r w:rsidR="002630F2">
        <w:t>__</w:t>
      </w:r>
    </w:p>
    <w:p w14:paraId="6F97D3C9" w14:textId="77777777" w:rsidR="00A345EB" w:rsidRPr="003B4D66" w:rsidRDefault="004D77C7" w:rsidP="00C96371">
      <w:pPr>
        <w:spacing w:line="240" w:lineRule="auto"/>
        <w:jc w:val="both"/>
        <w:rPr>
          <w:b/>
          <w:sz w:val="24"/>
          <w:szCs w:val="24"/>
        </w:rPr>
      </w:pPr>
      <w:r>
        <w:tab/>
      </w:r>
      <w:r>
        <w:tab/>
      </w:r>
      <w:r>
        <w:tab/>
      </w:r>
      <w:r>
        <w:tab/>
      </w:r>
      <w:r>
        <w:tab/>
      </w:r>
      <w:r>
        <w:tab/>
      </w:r>
      <w:r>
        <w:tab/>
      </w:r>
      <w:r>
        <w:tab/>
      </w:r>
      <w:r w:rsidRPr="002752F1">
        <w:rPr>
          <w:b/>
          <w:sz w:val="24"/>
          <w:szCs w:val="24"/>
        </w:rPr>
        <w:t>ANDREWS, AJ</w:t>
      </w:r>
    </w:p>
    <w:p w14:paraId="024CAAC5" w14:textId="77777777" w:rsidR="00974D86" w:rsidRDefault="00974D86" w:rsidP="00C96371">
      <w:pPr>
        <w:spacing w:line="240" w:lineRule="auto"/>
        <w:jc w:val="both"/>
        <w:rPr>
          <w:rFonts w:ascii="Arial" w:hAnsi="Arial" w:cs="Arial"/>
          <w:b/>
          <w:sz w:val="24"/>
          <w:szCs w:val="24"/>
        </w:rPr>
      </w:pPr>
    </w:p>
    <w:p w14:paraId="524006F4" w14:textId="77777777" w:rsidR="004D77C7" w:rsidRPr="000D43FE" w:rsidRDefault="004D77C7" w:rsidP="00C96371">
      <w:pPr>
        <w:spacing w:line="240" w:lineRule="auto"/>
        <w:jc w:val="both"/>
        <w:rPr>
          <w:rFonts w:ascii="Arial" w:hAnsi="Arial" w:cs="Arial"/>
          <w:b/>
          <w:sz w:val="24"/>
          <w:szCs w:val="24"/>
        </w:rPr>
      </w:pPr>
      <w:r w:rsidRPr="000D43FE">
        <w:rPr>
          <w:rFonts w:ascii="Arial" w:hAnsi="Arial" w:cs="Arial"/>
          <w:b/>
          <w:sz w:val="24"/>
          <w:szCs w:val="24"/>
        </w:rPr>
        <w:t>APPEARANCES:</w:t>
      </w:r>
    </w:p>
    <w:p w14:paraId="7D57B21B" w14:textId="77777777" w:rsidR="004D77C7" w:rsidRPr="000D43FE" w:rsidRDefault="004D77C7" w:rsidP="00C96371">
      <w:pPr>
        <w:spacing w:line="240" w:lineRule="auto"/>
        <w:jc w:val="both"/>
        <w:rPr>
          <w:rFonts w:ascii="Arial" w:hAnsi="Arial" w:cs="Arial"/>
          <w:sz w:val="24"/>
          <w:szCs w:val="24"/>
        </w:rPr>
      </w:pPr>
      <w:r>
        <w:rPr>
          <w:rFonts w:ascii="Arial" w:hAnsi="Arial" w:cs="Arial"/>
          <w:sz w:val="24"/>
          <w:szCs w:val="24"/>
        </w:rPr>
        <w:t>Counsel for the Applicant</w:t>
      </w:r>
      <w:r w:rsidRPr="000D43FE">
        <w:rPr>
          <w:rFonts w:ascii="Arial" w:hAnsi="Arial" w:cs="Arial"/>
          <w:sz w:val="24"/>
          <w:szCs w:val="24"/>
        </w:rPr>
        <w:t>:</w:t>
      </w:r>
      <w:r>
        <w:rPr>
          <w:rFonts w:ascii="Arial" w:hAnsi="Arial" w:cs="Arial"/>
          <w:sz w:val="24"/>
          <w:szCs w:val="24"/>
        </w:rPr>
        <w:tab/>
      </w:r>
      <w:r>
        <w:rPr>
          <w:rFonts w:ascii="Arial" w:hAnsi="Arial" w:cs="Arial"/>
          <w:sz w:val="24"/>
          <w:szCs w:val="24"/>
        </w:rPr>
        <w:tab/>
      </w:r>
      <w:r w:rsidR="00CA7E57">
        <w:rPr>
          <w:rFonts w:ascii="Arial" w:hAnsi="Arial" w:cs="Arial"/>
          <w:sz w:val="24"/>
          <w:szCs w:val="24"/>
        </w:rPr>
        <w:tab/>
      </w:r>
      <w:r w:rsidR="00CA7E57">
        <w:rPr>
          <w:rFonts w:ascii="Arial" w:hAnsi="Arial" w:cs="Arial"/>
          <w:sz w:val="24"/>
          <w:szCs w:val="24"/>
        </w:rPr>
        <w:tab/>
        <w:t>Advocate E Benade</w:t>
      </w:r>
      <w:r>
        <w:rPr>
          <w:rFonts w:ascii="Arial" w:hAnsi="Arial" w:cs="Arial"/>
          <w:sz w:val="24"/>
          <w:szCs w:val="24"/>
        </w:rPr>
        <w:tab/>
      </w:r>
      <w:r>
        <w:rPr>
          <w:rFonts w:ascii="Arial" w:hAnsi="Arial" w:cs="Arial"/>
          <w:sz w:val="24"/>
          <w:szCs w:val="24"/>
        </w:rPr>
        <w:tab/>
      </w:r>
    </w:p>
    <w:p w14:paraId="2858A321" w14:textId="77777777" w:rsidR="004D77C7" w:rsidRDefault="004D77C7" w:rsidP="00C96371">
      <w:pPr>
        <w:spacing w:line="240" w:lineRule="auto"/>
        <w:jc w:val="both"/>
        <w:rPr>
          <w:rFonts w:ascii="Arial" w:hAnsi="Arial" w:cs="Arial"/>
          <w:sz w:val="24"/>
          <w:szCs w:val="24"/>
        </w:rPr>
      </w:pPr>
      <w:r w:rsidRPr="000D43FE">
        <w:rPr>
          <w:rFonts w:ascii="Arial" w:hAnsi="Arial" w:cs="Arial"/>
          <w:sz w:val="24"/>
          <w:szCs w:val="24"/>
        </w:rPr>
        <w:t>Instructed by:</w:t>
      </w:r>
      <w:r>
        <w:rPr>
          <w:rFonts w:ascii="Arial" w:hAnsi="Arial" w:cs="Arial"/>
          <w:sz w:val="24"/>
          <w:szCs w:val="24"/>
        </w:rPr>
        <w:tab/>
      </w:r>
      <w:r w:rsidR="00CA7E57">
        <w:rPr>
          <w:rFonts w:ascii="Arial" w:hAnsi="Arial" w:cs="Arial"/>
          <w:sz w:val="24"/>
          <w:szCs w:val="24"/>
        </w:rPr>
        <w:tab/>
      </w:r>
      <w:r w:rsidR="00CA7E57">
        <w:rPr>
          <w:rFonts w:ascii="Arial" w:hAnsi="Arial" w:cs="Arial"/>
          <w:sz w:val="24"/>
          <w:szCs w:val="24"/>
        </w:rPr>
        <w:tab/>
      </w:r>
      <w:r w:rsidR="00CA7E57">
        <w:rPr>
          <w:rFonts w:ascii="Arial" w:hAnsi="Arial" w:cs="Arial"/>
          <w:sz w:val="24"/>
          <w:szCs w:val="24"/>
        </w:rPr>
        <w:tab/>
      </w:r>
      <w:r w:rsidR="00CA7E57">
        <w:rPr>
          <w:rFonts w:ascii="Arial" w:hAnsi="Arial" w:cs="Arial"/>
          <w:sz w:val="24"/>
          <w:szCs w:val="24"/>
        </w:rPr>
        <w:tab/>
        <w:t>Lester and Associates</w:t>
      </w:r>
      <w:r>
        <w:rPr>
          <w:rFonts w:ascii="Arial" w:hAnsi="Arial" w:cs="Arial"/>
          <w:sz w:val="24"/>
          <w:szCs w:val="24"/>
        </w:rPr>
        <w:tab/>
      </w:r>
      <w:r>
        <w:rPr>
          <w:rFonts w:ascii="Arial" w:hAnsi="Arial" w:cs="Arial"/>
          <w:sz w:val="24"/>
          <w:szCs w:val="24"/>
        </w:rPr>
        <w:tab/>
      </w:r>
      <w:r>
        <w:rPr>
          <w:rFonts w:ascii="Arial" w:hAnsi="Arial" w:cs="Arial"/>
          <w:sz w:val="24"/>
          <w:szCs w:val="24"/>
        </w:rPr>
        <w:tab/>
      </w:r>
    </w:p>
    <w:p w14:paraId="6B77036D" w14:textId="77777777" w:rsidR="004D77C7" w:rsidRDefault="004D77C7" w:rsidP="00C96371">
      <w:pPr>
        <w:spacing w:line="240" w:lineRule="auto"/>
        <w:jc w:val="both"/>
        <w:rPr>
          <w:rFonts w:ascii="Arial" w:hAnsi="Arial" w:cs="Arial"/>
          <w:sz w:val="24"/>
          <w:szCs w:val="24"/>
        </w:rPr>
      </w:pPr>
    </w:p>
    <w:p w14:paraId="4FCB4FA7" w14:textId="77777777" w:rsidR="004D77C7" w:rsidRDefault="004D77C7" w:rsidP="00C96371">
      <w:pPr>
        <w:spacing w:line="240" w:lineRule="auto"/>
        <w:jc w:val="both"/>
        <w:rPr>
          <w:rFonts w:ascii="Arial" w:hAnsi="Arial" w:cs="Arial"/>
          <w:sz w:val="24"/>
          <w:szCs w:val="24"/>
        </w:rPr>
      </w:pPr>
      <w:r>
        <w:rPr>
          <w:rFonts w:ascii="Arial" w:hAnsi="Arial" w:cs="Arial"/>
          <w:sz w:val="24"/>
          <w:szCs w:val="24"/>
        </w:rPr>
        <w:t>Counsel for the Respondent:</w:t>
      </w:r>
      <w:r w:rsidR="00CA7E57">
        <w:rPr>
          <w:rFonts w:ascii="Arial" w:hAnsi="Arial" w:cs="Arial"/>
          <w:sz w:val="24"/>
          <w:szCs w:val="24"/>
        </w:rPr>
        <w:tab/>
      </w:r>
      <w:r w:rsidR="00CA7E57">
        <w:rPr>
          <w:rFonts w:ascii="Arial" w:hAnsi="Arial" w:cs="Arial"/>
          <w:sz w:val="24"/>
          <w:szCs w:val="24"/>
        </w:rPr>
        <w:tab/>
      </w:r>
      <w:r w:rsidR="00CA7E57">
        <w:rPr>
          <w:rFonts w:ascii="Arial" w:hAnsi="Arial" w:cs="Arial"/>
          <w:sz w:val="24"/>
          <w:szCs w:val="24"/>
        </w:rPr>
        <w:tab/>
        <w:t>Advocate Van J van der Schyff</w:t>
      </w:r>
    </w:p>
    <w:p w14:paraId="45BB989A" w14:textId="77777777" w:rsidR="004D77C7" w:rsidRDefault="004D77C7" w:rsidP="00C96371">
      <w:pPr>
        <w:spacing w:line="24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sidR="00CA7E57">
        <w:rPr>
          <w:rFonts w:ascii="Arial" w:hAnsi="Arial" w:cs="Arial"/>
          <w:sz w:val="24"/>
          <w:szCs w:val="24"/>
        </w:rPr>
        <w:tab/>
      </w:r>
      <w:r w:rsidR="00CA7E57">
        <w:rPr>
          <w:rFonts w:ascii="Arial" w:hAnsi="Arial" w:cs="Arial"/>
          <w:sz w:val="24"/>
          <w:szCs w:val="24"/>
        </w:rPr>
        <w:tab/>
      </w:r>
      <w:r w:rsidR="00CA7E57">
        <w:rPr>
          <w:rFonts w:ascii="Arial" w:hAnsi="Arial" w:cs="Arial"/>
          <w:sz w:val="24"/>
          <w:szCs w:val="24"/>
        </w:rPr>
        <w:tab/>
      </w:r>
      <w:r w:rsidR="00CA7E57">
        <w:rPr>
          <w:rFonts w:ascii="Arial" w:hAnsi="Arial" w:cs="Arial"/>
          <w:sz w:val="24"/>
          <w:szCs w:val="24"/>
        </w:rPr>
        <w:tab/>
        <w:t>The State Attorney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74B47882" w14:textId="77777777" w:rsidR="004D77C7" w:rsidRDefault="004D77C7" w:rsidP="00C96371">
      <w:pPr>
        <w:spacing w:line="240" w:lineRule="auto"/>
        <w:jc w:val="both"/>
        <w:rPr>
          <w:rFonts w:ascii="Arial" w:hAnsi="Arial" w:cs="Arial"/>
          <w:sz w:val="24"/>
          <w:szCs w:val="24"/>
        </w:rPr>
      </w:pPr>
    </w:p>
    <w:p w14:paraId="4A7FFAED" w14:textId="77777777" w:rsidR="004D77C7" w:rsidRPr="00AD777E" w:rsidRDefault="004D77C7" w:rsidP="00C96371">
      <w:pPr>
        <w:spacing w:line="240" w:lineRule="auto"/>
        <w:jc w:val="both"/>
        <w:rPr>
          <w:rFonts w:ascii="Arial" w:hAnsi="Arial" w:cs="Arial"/>
          <w:sz w:val="24"/>
          <w:szCs w:val="24"/>
        </w:rPr>
      </w:pPr>
      <w:r w:rsidRPr="00AD777E">
        <w:rPr>
          <w:rFonts w:ascii="Arial" w:hAnsi="Arial" w:cs="Arial"/>
          <w:i/>
          <w:sz w:val="24"/>
          <w:szCs w:val="24"/>
        </w:rPr>
        <w:t>Heard on</w:t>
      </w:r>
      <w:r w:rsidR="003477EF" w:rsidRPr="00AD777E">
        <w:rPr>
          <w:rFonts w:ascii="Arial" w:hAnsi="Arial" w:cs="Arial"/>
          <w:i/>
          <w:sz w:val="24"/>
          <w:szCs w:val="24"/>
        </w:rPr>
        <w:t>:</w:t>
      </w:r>
      <w:r w:rsidR="000B4183" w:rsidRPr="00AD777E">
        <w:rPr>
          <w:rFonts w:ascii="Arial" w:hAnsi="Arial" w:cs="Arial"/>
          <w:sz w:val="24"/>
          <w:szCs w:val="24"/>
        </w:rPr>
        <w:tab/>
      </w:r>
      <w:r w:rsidR="007451B4">
        <w:rPr>
          <w:rFonts w:ascii="Arial" w:hAnsi="Arial" w:cs="Arial"/>
          <w:sz w:val="24"/>
          <w:szCs w:val="24"/>
        </w:rPr>
        <w:t>20 May 2024</w:t>
      </w:r>
    </w:p>
    <w:p w14:paraId="2BDCC1FF" w14:textId="77777777" w:rsidR="004307F0" w:rsidRDefault="004D77C7" w:rsidP="00C96371">
      <w:pPr>
        <w:spacing w:line="240" w:lineRule="auto"/>
        <w:jc w:val="both"/>
        <w:rPr>
          <w:rFonts w:ascii="Arial" w:hAnsi="Arial" w:cs="Arial"/>
          <w:sz w:val="24"/>
          <w:szCs w:val="24"/>
        </w:rPr>
      </w:pPr>
      <w:r w:rsidRPr="00AD777E">
        <w:rPr>
          <w:rFonts w:ascii="Arial" w:hAnsi="Arial" w:cs="Arial"/>
          <w:i/>
          <w:sz w:val="24"/>
          <w:szCs w:val="24"/>
        </w:rPr>
        <w:t>Delivered</w:t>
      </w:r>
      <w:r w:rsidR="003477EF" w:rsidRPr="00AD777E">
        <w:rPr>
          <w:rFonts w:ascii="Arial" w:hAnsi="Arial" w:cs="Arial"/>
          <w:i/>
          <w:sz w:val="24"/>
          <w:szCs w:val="24"/>
        </w:rPr>
        <w:t>:</w:t>
      </w:r>
      <w:r w:rsidRPr="00AD777E">
        <w:rPr>
          <w:rFonts w:ascii="Arial" w:hAnsi="Arial" w:cs="Arial"/>
          <w:sz w:val="24"/>
          <w:szCs w:val="24"/>
        </w:rPr>
        <w:tab/>
      </w:r>
      <w:r w:rsidR="007451B4">
        <w:rPr>
          <w:rFonts w:ascii="Arial" w:hAnsi="Arial" w:cs="Arial"/>
          <w:sz w:val="24"/>
          <w:szCs w:val="24"/>
        </w:rPr>
        <w:t>22</w:t>
      </w:r>
      <w:r w:rsidR="00FD7F4D" w:rsidRPr="00AD777E">
        <w:rPr>
          <w:rFonts w:ascii="Arial" w:hAnsi="Arial" w:cs="Arial"/>
          <w:sz w:val="24"/>
          <w:szCs w:val="24"/>
        </w:rPr>
        <w:t xml:space="preserve"> May</w:t>
      </w:r>
      <w:r w:rsidR="000B4183" w:rsidRPr="00AD777E">
        <w:rPr>
          <w:rFonts w:ascii="Arial" w:hAnsi="Arial" w:cs="Arial"/>
          <w:sz w:val="24"/>
          <w:szCs w:val="24"/>
        </w:rPr>
        <w:t xml:space="preserve"> 2024</w:t>
      </w:r>
      <w:r w:rsidRPr="00AD777E">
        <w:rPr>
          <w:rFonts w:ascii="Arial" w:hAnsi="Arial" w:cs="Arial"/>
          <w:sz w:val="24"/>
          <w:szCs w:val="24"/>
        </w:rPr>
        <w:t xml:space="preserve"> </w:t>
      </w:r>
    </w:p>
    <w:p w14:paraId="4F0B1A72" w14:textId="77777777" w:rsidR="004307F0" w:rsidRDefault="004307F0" w:rsidP="00C96371">
      <w:pPr>
        <w:spacing w:line="240" w:lineRule="auto"/>
        <w:jc w:val="both"/>
        <w:rPr>
          <w:rFonts w:ascii="Arial" w:hAnsi="Arial" w:cs="Arial"/>
          <w:sz w:val="24"/>
          <w:szCs w:val="24"/>
        </w:rPr>
      </w:pPr>
    </w:p>
    <w:p w14:paraId="0AC2DB8F" w14:textId="458F0C78" w:rsidR="00717729" w:rsidRDefault="004D77C7" w:rsidP="002630F2">
      <w:pPr>
        <w:spacing w:line="240" w:lineRule="auto"/>
        <w:jc w:val="both"/>
      </w:pPr>
      <w:r w:rsidRPr="00AD777E">
        <w:rPr>
          <w:rFonts w:ascii="Arial" w:hAnsi="Arial" w:cs="Arial"/>
          <w:sz w:val="24"/>
          <w:szCs w:val="24"/>
        </w:rPr>
        <w:t>This judgment was handed down electronically by circulation to the parties’ representatives by email.</w:t>
      </w:r>
    </w:p>
    <w:sectPr w:rsidR="00717729">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96724" w14:textId="77777777" w:rsidR="002609CE" w:rsidRDefault="002609CE" w:rsidP="00C73836">
      <w:pPr>
        <w:spacing w:after="0" w:line="240" w:lineRule="auto"/>
      </w:pPr>
      <w:r>
        <w:separator/>
      </w:r>
    </w:p>
  </w:endnote>
  <w:endnote w:type="continuationSeparator" w:id="0">
    <w:p w14:paraId="2F41E446" w14:textId="77777777" w:rsidR="002609CE" w:rsidRDefault="002609CE" w:rsidP="00C73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09164"/>
      <w:docPartObj>
        <w:docPartGallery w:val="Page Numbers (Bottom of Page)"/>
        <w:docPartUnique/>
      </w:docPartObj>
    </w:sdtPr>
    <w:sdtEndPr>
      <w:rPr>
        <w:noProof/>
      </w:rPr>
    </w:sdtEndPr>
    <w:sdtContent>
      <w:p w14:paraId="14096ED7" w14:textId="45EAB366" w:rsidR="00960E68" w:rsidRDefault="00960E68">
        <w:pPr>
          <w:pStyle w:val="Footer"/>
          <w:jc w:val="right"/>
        </w:pPr>
        <w:r>
          <w:fldChar w:fldCharType="begin"/>
        </w:r>
        <w:r>
          <w:instrText xml:space="preserve"> PAGE   \* MERGEFORMAT </w:instrText>
        </w:r>
        <w:r>
          <w:fldChar w:fldCharType="separate"/>
        </w:r>
        <w:r w:rsidR="00685FB7">
          <w:rPr>
            <w:noProof/>
          </w:rPr>
          <w:t>1</w:t>
        </w:r>
        <w:r>
          <w:rPr>
            <w:noProof/>
          </w:rPr>
          <w:fldChar w:fldCharType="end"/>
        </w:r>
      </w:p>
    </w:sdtContent>
  </w:sdt>
  <w:p w14:paraId="48EDEBC5" w14:textId="77777777" w:rsidR="00960E68" w:rsidRDefault="00960E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9B92F" w14:textId="77777777" w:rsidR="002609CE" w:rsidRDefault="002609CE" w:rsidP="00C73836">
      <w:pPr>
        <w:spacing w:after="0" w:line="240" w:lineRule="auto"/>
      </w:pPr>
      <w:r>
        <w:separator/>
      </w:r>
    </w:p>
  </w:footnote>
  <w:footnote w:type="continuationSeparator" w:id="0">
    <w:p w14:paraId="6A2BFCE8" w14:textId="77777777" w:rsidR="002609CE" w:rsidRDefault="002609CE" w:rsidP="00C73836">
      <w:pPr>
        <w:spacing w:after="0" w:line="240" w:lineRule="auto"/>
      </w:pPr>
      <w:r>
        <w:continuationSeparator/>
      </w:r>
    </w:p>
  </w:footnote>
  <w:footnote w:id="1">
    <w:p w14:paraId="4568A716" w14:textId="77777777" w:rsidR="00960E68" w:rsidRDefault="00960E68">
      <w:pPr>
        <w:pStyle w:val="FootnoteText"/>
      </w:pPr>
      <w:r>
        <w:rPr>
          <w:rStyle w:val="FootnoteReference"/>
        </w:rPr>
        <w:footnoteRef/>
      </w:r>
      <w:r>
        <w:t xml:space="preserve"> Actuarial Report: Arch Actuarial Consulting CC, 8 May 2024. </w:t>
      </w:r>
    </w:p>
  </w:footnote>
  <w:footnote w:id="2">
    <w:p w14:paraId="5ADED686" w14:textId="77777777" w:rsidR="00960E68" w:rsidRDefault="00960E68">
      <w:pPr>
        <w:pStyle w:val="FootnoteText"/>
      </w:pPr>
      <w:r>
        <w:rPr>
          <w:rStyle w:val="FootnoteReference"/>
        </w:rPr>
        <w:footnoteRef/>
      </w:r>
      <w:r>
        <w:t xml:space="preserve"> Plaintiffs’ submissions in respect of the quantum of costs, para 10, page 4.</w:t>
      </w:r>
    </w:p>
  </w:footnote>
  <w:footnote w:id="3">
    <w:p w14:paraId="31D8C339" w14:textId="77777777" w:rsidR="00960E68" w:rsidRDefault="00960E68">
      <w:pPr>
        <w:pStyle w:val="FootnoteText"/>
      </w:pPr>
      <w:r>
        <w:rPr>
          <w:rStyle w:val="FootnoteReference"/>
        </w:rPr>
        <w:footnoteRef/>
      </w:r>
      <w:r>
        <w:t xml:space="preserve"> Plaintiffs’ submissions in respect of the quantum of costs, para 11, page 4 and Annexure “A”.</w:t>
      </w:r>
    </w:p>
  </w:footnote>
  <w:footnote w:id="4">
    <w:p w14:paraId="63C634CD" w14:textId="77777777" w:rsidR="00960E68" w:rsidRDefault="00960E68">
      <w:pPr>
        <w:pStyle w:val="FootnoteText"/>
      </w:pPr>
      <w:r>
        <w:rPr>
          <w:rStyle w:val="FootnoteReference"/>
        </w:rPr>
        <w:footnoteRef/>
      </w:r>
      <w:r>
        <w:t xml:space="preserve"> Plaintiffs’ submissions in respect of the quantum of costs, para 12, page 4 and Annexure “B”.</w:t>
      </w:r>
    </w:p>
  </w:footnote>
  <w:footnote w:id="5">
    <w:p w14:paraId="45E4872C" w14:textId="77777777" w:rsidR="00960E68" w:rsidRDefault="00960E68">
      <w:pPr>
        <w:pStyle w:val="FootnoteText"/>
      </w:pPr>
      <w:r>
        <w:rPr>
          <w:rStyle w:val="FootnoteReference"/>
        </w:rPr>
        <w:footnoteRef/>
      </w:r>
      <w:r>
        <w:t xml:space="preserve"> [1975] 3 All ER 33</w:t>
      </w:r>
      <w:r w:rsidR="00123AFD">
        <w:t>3</w:t>
      </w:r>
      <w:r>
        <w:t xml:space="preserve"> (</w:t>
      </w:r>
      <w:r w:rsidR="00123AFD">
        <w:t>EW</w:t>
      </w:r>
      <w:r>
        <w:t>CA).</w:t>
      </w:r>
    </w:p>
  </w:footnote>
  <w:footnote w:id="6">
    <w:p w14:paraId="6B226FA2" w14:textId="77777777" w:rsidR="00960E68" w:rsidRDefault="00960E68">
      <w:pPr>
        <w:pStyle w:val="FootnoteText"/>
      </w:pPr>
      <w:r>
        <w:rPr>
          <w:rStyle w:val="FootnoteReference"/>
        </w:rPr>
        <w:footnoteRef/>
      </w:r>
      <w:r>
        <w:t xml:space="preserve"> 2017 (5) SA 133.</w:t>
      </w:r>
    </w:p>
  </w:footnote>
  <w:footnote w:id="7">
    <w:p w14:paraId="23219316" w14:textId="77777777" w:rsidR="00960E68" w:rsidRDefault="00960E68">
      <w:pPr>
        <w:pStyle w:val="FootnoteText"/>
      </w:pPr>
      <w:r>
        <w:rPr>
          <w:rStyle w:val="FootnoteReference"/>
        </w:rPr>
        <w:footnoteRef/>
      </w:r>
      <w:r>
        <w:t xml:space="preserve"> At para 41.</w:t>
      </w:r>
    </w:p>
  </w:footnote>
  <w:footnote w:id="8">
    <w:p w14:paraId="5A1488EF" w14:textId="77777777" w:rsidR="00960E68" w:rsidRDefault="00960E68">
      <w:pPr>
        <w:pStyle w:val="FootnoteText"/>
      </w:pPr>
      <w:r>
        <w:rPr>
          <w:rStyle w:val="FootnoteReference"/>
        </w:rPr>
        <w:footnoteRef/>
      </w:r>
      <w:r>
        <w:t xml:space="preserve"> At para 50.</w:t>
      </w:r>
    </w:p>
  </w:footnote>
  <w:footnote w:id="9">
    <w:p w14:paraId="60D61FC6" w14:textId="77777777" w:rsidR="00960E68" w:rsidRPr="008D6E87" w:rsidRDefault="00960E68">
      <w:pPr>
        <w:pStyle w:val="FootnoteText"/>
      </w:pPr>
      <w:r>
        <w:rPr>
          <w:rStyle w:val="FootnoteReference"/>
        </w:rPr>
        <w:footnoteRef/>
      </w:r>
      <w:r>
        <w:t xml:space="preserve"> </w:t>
      </w:r>
      <w:r w:rsidRPr="008D6E87">
        <w:rPr>
          <w:rFonts w:cs="Arial"/>
          <w:i/>
        </w:rPr>
        <w:t>AD v MEC For Health</w:t>
      </w:r>
      <w:r>
        <w:rPr>
          <w:rFonts w:cs="Arial"/>
          <w:i/>
        </w:rPr>
        <w:t xml:space="preserve"> (supra),</w:t>
      </w:r>
      <w:r>
        <w:rPr>
          <w:rFonts w:cs="Arial"/>
        </w:rPr>
        <w:t xml:space="preserve"> at para 60.</w:t>
      </w:r>
    </w:p>
  </w:footnote>
  <w:footnote w:id="10">
    <w:p w14:paraId="118DDECD" w14:textId="77777777" w:rsidR="00960E68" w:rsidRPr="00CF7B47" w:rsidRDefault="00960E68" w:rsidP="00F24041">
      <w:pPr>
        <w:pStyle w:val="FootnoteText"/>
        <w:rPr>
          <w:i/>
        </w:rPr>
      </w:pPr>
      <w:r>
        <w:rPr>
          <w:rStyle w:val="FootnoteReference"/>
        </w:rPr>
        <w:footnoteRef/>
      </w:r>
      <w:r>
        <w:t xml:space="preserve"> See also </w:t>
      </w:r>
      <w:r w:rsidRPr="008D6E87">
        <w:rPr>
          <w:i/>
        </w:rPr>
        <w:t>Van Reenen v Dr Lewis &amp; Life Rosebank Hospital</w:t>
      </w:r>
      <w:r>
        <w:t xml:space="preserve"> (case no: 2302/2014) [2019] ZAFSHC 55 (14 May 2019), para 8 </w:t>
      </w:r>
      <w:r>
        <w:rPr>
          <w:i/>
        </w:rPr>
        <w:t>‘It is well established that vexatious conduct, even if it was not intended to be vexatious, may well be the basis for an order awarding costs on an attorney and client scale. Where a litigant was able to, but fails to take steps to curtail proceedings and thus causes an escalation in costs, he may similarly fact the prospect of paying costs on the attorney and client scale, on the basis that his conduct was unreasonable.’</w:t>
      </w:r>
    </w:p>
  </w:footnote>
  <w:footnote w:id="11">
    <w:p w14:paraId="0AA91938" w14:textId="77777777" w:rsidR="00960E68" w:rsidRDefault="00960E68">
      <w:pPr>
        <w:pStyle w:val="FootnoteText"/>
      </w:pPr>
      <w:r>
        <w:rPr>
          <w:rStyle w:val="FootnoteReference"/>
        </w:rPr>
        <w:footnoteRef/>
      </w:r>
      <w:r>
        <w:t xml:space="preserve"> Plaintiffs’ submissions in respect of the quantum of costs, para 22, page 7.</w:t>
      </w:r>
    </w:p>
  </w:footnote>
  <w:footnote w:id="12">
    <w:p w14:paraId="14393C68" w14:textId="77777777" w:rsidR="00960E68" w:rsidRDefault="00960E68">
      <w:pPr>
        <w:pStyle w:val="FootnoteText"/>
      </w:pPr>
      <w:r>
        <w:rPr>
          <w:rStyle w:val="FootnoteReference"/>
        </w:rPr>
        <w:footnoteRef/>
      </w:r>
      <w:r>
        <w:t xml:space="preserve"> At para 61.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594"/>
    <w:multiLevelType w:val="hybridMultilevel"/>
    <w:tmpl w:val="3476FD84"/>
    <w:lvl w:ilvl="0" w:tplc="99AA94D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6970094"/>
    <w:multiLevelType w:val="hybridMultilevel"/>
    <w:tmpl w:val="8AAE9A2C"/>
    <w:lvl w:ilvl="0" w:tplc="CBCA8AE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79F1A06"/>
    <w:multiLevelType w:val="hybridMultilevel"/>
    <w:tmpl w:val="17E8A3C6"/>
    <w:lvl w:ilvl="0" w:tplc="AAF4D8B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086661FC"/>
    <w:multiLevelType w:val="hybridMultilevel"/>
    <w:tmpl w:val="660EC2B2"/>
    <w:lvl w:ilvl="0" w:tplc="5D82B5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BC23DE0"/>
    <w:multiLevelType w:val="hybridMultilevel"/>
    <w:tmpl w:val="334C72DA"/>
    <w:lvl w:ilvl="0" w:tplc="D9A89CF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E4A5B11"/>
    <w:multiLevelType w:val="hybridMultilevel"/>
    <w:tmpl w:val="71820D98"/>
    <w:lvl w:ilvl="0" w:tplc="31F0464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4177BE9"/>
    <w:multiLevelType w:val="hybridMultilevel"/>
    <w:tmpl w:val="5AF6E680"/>
    <w:lvl w:ilvl="0" w:tplc="AFCA7D1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86173FF"/>
    <w:multiLevelType w:val="hybridMultilevel"/>
    <w:tmpl w:val="695A1F16"/>
    <w:lvl w:ilvl="0" w:tplc="BF8601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A1E1987"/>
    <w:multiLevelType w:val="hybridMultilevel"/>
    <w:tmpl w:val="2146E406"/>
    <w:lvl w:ilvl="0" w:tplc="C1766814">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C5D5BE9"/>
    <w:multiLevelType w:val="multilevel"/>
    <w:tmpl w:val="88B2C03E"/>
    <w:lvl w:ilvl="0">
      <w:start w:val="1"/>
      <w:numFmt w:val="decimal"/>
      <w:isLgl/>
      <w:lvlText w:val="[%1]     "/>
      <w:lvlJc w:val="left"/>
      <w:pPr>
        <w:tabs>
          <w:tab w:val="num" w:pos="567"/>
        </w:tabs>
        <w:ind w:left="0" w:firstLine="0"/>
      </w:pPr>
      <w:rPr>
        <w:rFonts w:ascii="Arial" w:hAnsi="Arial" w:cs="Arial" w:hint="default"/>
        <w:b w:val="0"/>
        <w:i w:val="0"/>
        <w:sz w:val="24"/>
      </w:rPr>
    </w:lvl>
    <w:lvl w:ilvl="1">
      <w:start w:val="1"/>
      <w:numFmt w:val="decimal"/>
      <w:lvlText w:val="[%1.%2.]"/>
      <w:lvlJc w:val="left"/>
      <w:pPr>
        <w:tabs>
          <w:tab w:val="num" w:pos="567"/>
        </w:tabs>
        <w:ind w:left="0" w:firstLine="0"/>
      </w:pPr>
    </w:lvl>
    <w:lvl w:ilvl="2">
      <w:start w:val="1"/>
      <w:numFmt w:val="decimal"/>
      <w:lvlText w:val="[%1.%2.%3.]"/>
      <w:lvlJc w:val="left"/>
      <w:pPr>
        <w:tabs>
          <w:tab w:val="num" w:pos="567"/>
        </w:tabs>
        <w:ind w:left="0" w:firstLine="0"/>
      </w:pPr>
    </w:lvl>
    <w:lvl w:ilvl="3">
      <w:start w:val="1"/>
      <w:numFmt w:val="decimal"/>
      <w:lvlText w:val="[%1.%2.%3.%4.]"/>
      <w:lvlJc w:val="left"/>
      <w:pPr>
        <w:tabs>
          <w:tab w:val="num" w:pos="567"/>
        </w:tabs>
        <w:ind w:left="0" w:firstLine="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1F45473B"/>
    <w:multiLevelType w:val="multilevel"/>
    <w:tmpl w:val="B8423E1C"/>
    <w:lvl w:ilvl="0">
      <w:start w:val="1"/>
      <w:numFmt w:val="decimal"/>
      <w:pStyle w:val="JudgmentNumbered"/>
      <w:lvlText w:val="[%1]"/>
      <w:lvlJc w:val="left"/>
      <w:pPr>
        <w:ind w:left="567" w:hanging="567"/>
      </w:pPr>
      <w:rPr>
        <w:rFonts w:cs="Times New Roman" w:hint="default"/>
        <w:b w:val="0"/>
      </w:rPr>
    </w:lvl>
    <w:lvl w:ilvl="1">
      <w:start w:val="1"/>
      <w:numFmt w:val="lowerLetter"/>
      <w:lvlText w:val="%2."/>
      <w:lvlJc w:val="left"/>
      <w:pPr>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ind w:left="3447" w:hanging="360"/>
      </w:pPr>
      <w:rPr>
        <w:rFonts w:cs="Times New Roman" w:hint="default"/>
      </w:rPr>
    </w:lvl>
    <w:lvl w:ilvl="4">
      <w:start w:val="1"/>
      <w:numFmt w:val="lowerLetter"/>
      <w:lvlText w:val="%5."/>
      <w:lvlJc w:val="left"/>
      <w:pPr>
        <w:ind w:left="4167" w:hanging="360"/>
      </w:pPr>
      <w:rPr>
        <w:rFonts w:cs="Times New Roman" w:hint="default"/>
      </w:rPr>
    </w:lvl>
    <w:lvl w:ilvl="5">
      <w:start w:val="1"/>
      <w:numFmt w:val="lowerRoman"/>
      <w:lvlText w:val="%6."/>
      <w:lvlJc w:val="right"/>
      <w:pPr>
        <w:ind w:left="4887" w:hanging="180"/>
      </w:pPr>
      <w:rPr>
        <w:rFonts w:cs="Times New Roman" w:hint="default"/>
      </w:rPr>
    </w:lvl>
    <w:lvl w:ilvl="6">
      <w:start w:val="1"/>
      <w:numFmt w:val="decimal"/>
      <w:lvlText w:val="%7."/>
      <w:lvlJc w:val="left"/>
      <w:pPr>
        <w:ind w:left="5607" w:hanging="360"/>
      </w:pPr>
      <w:rPr>
        <w:rFonts w:cs="Times New Roman" w:hint="default"/>
      </w:rPr>
    </w:lvl>
    <w:lvl w:ilvl="7">
      <w:start w:val="1"/>
      <w:numFmt w:val="lowerLetter"/>
      <w:lvlText w:val="%8."/>
      <w:lvlJc w:val="left"/>
      <w:pPr>
        <w:ind w:left="6327" w:hanging="360"/>
      </w:pPr>
      <w:rPr>
        <w:rFonts w:cs="Times New Roman" w:hint="default"/>
      </w:rPr>
    </w:lvl>
    <w:lvl w:ilvl="8">
      <w:start w:val="1"/>
      <w:numFmt w:val="lowerRoman"/>
      <w:lvlText w:val="%9."/>
      <w:lvlJc w:val="right"/>
      <w:pPr>
        <w:ind w:left="7047" w:hanging="180"/>
      </w:pPr>
      <w:rPr>
        <w:rFonts w:cs="Times New Roman" w:hint="default"/>
      </w:rPr>
    </w:lvl>
  </w:abstractNum>
  <w:abstractNum w:abstractNumId="11" w15:restartNumberingAfterBreak="0">
    <w:nsid w:val="1FBF2945"/>
    <w:multiLevelType w:val="hybridMultilevel"/>
    <w:tmpl w:val="BB403730"/>
    <w:lvl w:ilvl="0" w:tplc="F4AE43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22360E2"/>
    <w:multiLevelType w:val="hybridMultilevel"/>
    <w:tmpl w:val="45A67D04"/>
    <w:lvl w:ilvl="0" w:tplc="BB427D50">
      <w:start w:val="1"/>
      <w:numFmt w:val="lowerRoman"/>
      <w:lvlText w:val="(%1)"/>
      <w:lvlJc w:val="left"/>
      <w:pPr>
        <w:ind w:left="2160" w:hanging="720"/>
      </w:pPr>
      <w:rPr>
        <w:rFonts w:hint="default"/>
        <w:b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15:restartNumberingAfterBreak="0">
    <w:nsid w:val="22FB1D70"/>
    <w:multiLevelType w:val="hybridMultilevel"/>
    <w:tmpl w:val="815AE07E"/>
    <w:lvl w:ilvl="0" w:tplc="36E4175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46741E1"/>
    <w:multiLevelType w:val="hybridMultilevel"/>
    <w:tmpl w:val="B202781E"/>
    <w:lvl w:ilvl="0" w:tplc="83E44EB4">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5A261A4"/>
    <w:multiLevelType w:val="hybridMultilevel"/>
    <w:tmpl w:val="9A2AEDE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1D21499"/>
    <w:multiLevelType w:val="hybridMultilevel"/>
    <w:tmpl w:val="9C18C3FA"/>
    <w:lvl w:ilvl="0" w:tplc="3E2698A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CDF78BE"/>
    <w:multiLevelType w:val="hybridMultilevel"/>
    <w:tmpl w:val="B2981CE2"/>
    <w:lvl w:ilvl="0" w:tplc="9F92120C">
      <w:start w:val="1"/>
      <w:numFmt w:val="lowerRoman"/>
      <w:lvlText w:val="%1."/>
      <w:lvlJc w:val="left"/>
      <w:pPr>
        <w:ind w:left="2160" w:hanging="720"/>
      </w:pPr>
      <w:rPr>
        <w:rFonts w:hint="default"/>
        <w:b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8" w15:restartNumberingAfterBreak="0">
    <w:nsid w:val="438C1B78"/>
    <w:multiLevelType w:val="hybridMultilevel"/>
    <w:tmpl w:val="486EFC0C"/>
    <w:lvl w:ilvl="0" w:tplc="814CE6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60F030A"/>
    <w:multiLevelType w:val="hybridMultilevel"/>
    <w:tmpl w:val="CF7C5C20"/>
    <w:lvl w:ilvl="0" w:tplc="BB427D50">
      <w:start w:val="1"/>
      <w:numFmt w:val="lowerRoman"/>
      <w:lvlText w:val="(%1)"/>
      <w:lvlJc w:val="left"/>
      <w:pPr>
        <w:ind w:left="1440" w:hanging="72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462238A4"/>
    <w:multiLevelType w:val="hybridMultilevel"/>
    <w:tmpl w:val="E2649ED4"/>
    <w:lvl w:ilvl="0" w:tplc="A7F0188A">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1" w15:restartNumberingAfterBreak="0">
    <w:nsid w:val="4BF71069"/>
    <w:multiLevelType w:val="hybridMultilevel"/>
    <w:tmpl w:val="9C18C3FA"/>
    <w:lvl w:ilvl="0" w:tplc="3E2698A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12838B9"/>
    <w:multiLevelType w:val="hybridMultilevel"/>
    <w:tmpl w:val="38986A2A"/>
    <w:lvl w:ilvl="0" w:tplc="B79A4414">
      <w:start w:val="1"/>
      <w:numFmt w:val="lowerRoman"/>
      <w:lvlText w:val="(%1)"/>
      <w:lvlJc w:val="left"/>
      <w:pPr>
        <w:ind w:left="1440" w:hanging="72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52D21737"/>
    <w:multiLevelType w:val="hybridMultilevel"/>
    <w:tmpl w:val="C0E49A60"/>
    <w:lvl w:ilvl="0" w:tplc="63D8EC8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5334E1B"/>
    <w:multiLevelType w:val="hybridMultilevel"/>
    <w:tmpl w:val="34481732"/>
    <w:lvl w:ilvl="0" w:tplc="768A05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8DA75D5"/>
    <w:multiLevelType w:val="hybridMultilevel"/>
    <w:tmpl w:val="B1AEEAFC"/>
    <w:lvl w:ilvl="0" w:tplc="8556C5D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C480BEF"/>
    <w:multiLevelType w:val="hybridMultilevel"/>
    <w:tmpl w:val="4BB6FDE8"/>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0B67FCC"/>
    <w:multiLevelType w:val="hybridMultilevel"/>
    <w:tmpl w:val="416E73B0"/>
    <w:lvl w:ilvl="0" w:tplc="8F2AE47E">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8" w15:restartNumberingAfterBreak="0">
    <w:nsid w:val="61833259"/>
    <w:multiLevelType w:val="hybridMultilevel"/>
    <w:tmpl w:val="23A27272"/>
    <w:lvl w:ilvl="0" w:tplc="943AE5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6C03172"/>
    <w:multiLevelType w:val="hybridMultilevel"/>
    <w:tmpl w:val="84C4FAAC"/>
    <w:lvl w:ilvl="0" w:tplc="746CBAC4">
      <w:start w:val="1"/>
      <w:numFmt w:val="lowerRoman"/>
      <w:lvlText w:val="(%1)"/>
      <w:lvlJc w:val="left"/>
      <w:pPr>
        <w:ind w:left="1080" w:hanging="72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9306BF0"/>
    <w:multiLevelType w:val="hybridMultilevel"/>
    <w:tmpl w:val="F544C032"/>
    <w:lvl w:ilvl="0" w:tplc="95F6697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7D3E16C2"/>
    <w:multiLevelType w:val="hybridMultilevel"/>
    <w:tmpl w:val="AF9C737A"/>
    <w:lvl w:ilvl="0" w:tplc="81DEA0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27"/>
  </w:num>
  <w:num w:numId="3">
    <w:abstractNumId w:val="25"/>
  </w:num>
  <w:num w:numId="4">
    <w:abstractNumId w:val="24"/>
  </w:num>
  <w:num w:numId="5">
    <w:abstractNumId w:val="31"/>
  </w:num>
  <w:num w:numId="6">
    <w:abstractNumId w:val="28"/>
  </w:num>
  <w:num w:numId="7">
    <w:abstractNumId w:val="8"/>
  </w:num>
  <w:num w:numId="8">
    <w:abstractNumId w:val="23"/>
  </w:num>
  <w:num w:numId="9">
    <w:abstractNumId w:val="14"/>
  </w:num>
  <w:num w:numId="10">
    <w:abstractNumId w:val="19"/>
  </w:num>
  <w:num w:numId="11">
    <w:abstractNumId w:val="22"/>
  </w:num>
  <w:num w:numId="12">
    <w:abstractNumId w:val="17"/>
  </w:num>
  <w:num w:numId="13">
    <w:abstractNumId w:val="15"/>
  </w:num>
  <w:num w:numId="14">
    <w:abstractNumId w:val="26"/>
  </w:num>
  <w:num w:numId="15">
    <w:abstractNumId w:val="11"/>
  </w:num>
  <w:num w:numId="16">
    <w:abstractNumId w:val="7"/>
  </w:num>
  <w:num w:numId="17">
    <w:abstractNumId w:val="2"/>
  </w:num>
  <w:num w:numId="18">
    <w:abstractNumId w:val="0"/>
  </w:num>
  <w:num w:numId="19">
    <w:abstractNumId w:val="12"/>
  </w:num>
  <w:num w:numId="20">
    <w:abstractNumId w:val="20"/>
  </w:num>
  <w:num w:numId="21">
    <w:abstractNumId w:val="6"/>
  </w:num>
  <w:num w:numId="22">
    <w:abstractNumId w:val="10"/>
  </w:num>
  <w:num w:numId="23">
    <w:abstractNumId w:val="13"/>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8"/>
  </w:num>
  <w:num w:numId="31">
    <w:abstractNumId w:val="1"/>
  </w:num>
  <w:num w:numId="32">
    <w:abstractNumId w:val="30"/>
  </w:num>
  <w:num w:numId="33">
    <w:abstractNumId w:val="3"/>
  </w:num>
  <w:num w:numId="34">
    <w:abstractNumId w:val="4"/>
  </w:num>
  <w:num w:numId="35">
    <w:abstractNumId w:val="21"/>
  </w:num>
  <w:num w:numId="36">
    <w:abstractNumId w:val="29"/>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7C7"/>
    <w:rsid w:val="00000989"/>
    <w:rsid w:val="00003425"/>
    <w:rsid w:val="00003CD5"/>
    <w:rsid w:val="00007460"/>
    <w:rsid w:val="00017318"/>
    <w:rsid w:val="00021F02"/>
    <w:rsid w:val="00022F79"/>
    <w:rsid w:val="00025BBE"/>
    <w:rsid w:val="00025D45"/>
    <w:rsid w:val="00026C30"/>
    <w:rsid w:val="00027D3D"/>
    <w:rsid w:val="00030049"/>
    <w:rsid w:val="00030BEE"/>
    <w:rsid w:val="00031496"/>
    <w:rsid w:val="00031F31"/>
    <w:rsid w:val="00033FB1"/>
    <w:rsid w:val="00041A61"/>
    <w:rsid w:val="0004553F"/>
    <w:rsid w:val="00047E88"/>
    <w:rsid w:val="000553D3"/>
    <w:rsid w:val="000561FE"/>
    <w:rsid w:val="00056D92"/>
    <w:rsid w:val="000643E2"/>
    <w:rsid w:val="00064F9B"/>
    <w:rsid w:val="000670C9"/>
    <w:rsid w:val="00072619"/>
    <w:rsid w:val="000742D7"/>
    <w:rsid w:val="00076E5A"/>
    <w:rsid w:val="00082CD6"/>
    <w:rsid w:val="00086FC3"/>
    <w:rsid w:val="00091325"/>
    <w:rsid w:val="000926C0"/>
    <w:rsid w:val="00092755"/>
    <w:rsid w:val="0009495F"/>
    <w:rsid w:val="000A172C"/>
    <w:rsid w:val="000A281F"/>
    <w:rsid w:val="000A36A0"/>
    <w:rsid w:val="000A50B6"/>
    <w:rsid w:val="000B4183"/>
    <w:rsid w:val="000B6E1C"/>
    <w:rsid w:val="000C0C55"/>
    <w:rsid w:val="000C2B58"/>
    <w:rsid w:val="000D0BAA"/>
    <w:rsid w:val="000D50C4"/>
    <w:rsid w:val="000E1796"/>
    <w:rsid w:val="000E218A"/>
    <w:rsid w:val="000F2005"/>
    <w:rsid w:val="000F224C"/>
    <w:rsid w:val="00101264"/>
    <w:rsid w:val="00106C50"/>
    <w:rsid w:val="0011127F"/>
    <w:rsid w:val="001222F3"/>
    <w:rsid w:val="00123AFD"/>
    <w:rsid w:val="0012435B"/>
    <w:rsid w:val="00124FF6"/>
    <w:rsid w:val="001255F0"/>
    <w:rsid w:val="0013724A"/>
    <w:rsid w:val="00141120"/>
    <w:rsid w:val="00141806"/>
    <w:rsid w:val="00142079"/>
    <w:rsid w:val="0014552A"/>
    <w:rsid w:val="00145B26"/>
    <w:rsid w:val="001622C2"/>
    <w:rsid w:val="001637EE"/>
    <w:rsid w:val="001640D9"/>
    <w:rsid w:val="001662F4"/>
    <w:rsid w:val="001720EC"/>
    <w:rsid w:val="00173A5F"/>
    <w:rsid w:val="00180C0E"/>
    <w:rsid w:val="001844C6"/>
    <w:rsid w:val="00184A32"/>
    <w:rsid w:val="00186B41"/>
    <w:rsid w:val="0018725A"/>
    <w:rsid w:val="00193B93"/>
    <w:rsid w:val="001A22CB"/>
    <w:rsid w:val="001A3A3B"/>
    <w:rsid w:val="001B1E6F"/>
    <w:rsid w:val="001B2D37"/>
    <w:rsid w:val="001B4444"/>
    <w:rsid w:val="001B4A1D"/>
    <w:rsid w:val="001B7235"/>
    <w:rsid w:val="001C5192"/>
    <w:rsid w:val="001C6409"/>
    <w:rsid w:val="001C67E0"/>
    <w:rsid w:val="001C71E8"/>
    <w:rsid w:val="001D2620"/>
    <w:rsid w:val="001D3D40"/>
    <w:rsid w:val="001D7AF3"/>
    <w:rsid w:val="001F6577"/>
    <w:rsid w:val="001F70E0"/>
    <w:rsid w:val="00200110"/>
    <w:rsid w:val="00203B19"/>
    <w:rsid w:val="002055D2"/>
    <w:rsid w:val="00213C35"/>
    <w:rsid w:val="00214420"/>
    <w:rsid w:val="002165C9"/>
    <w:rsid w:val="002216DD"/>
    <w:rsid w:val="0022388F"/>
    <w:rsid w:val="002238B0"/>
    <w:rsid w:val="0022459F"/>
    <w:rsid w:val="002249EA"/>
    <w:rsid w:val="00224C5F"/>
    <w:rsid w:val="00230354"/>
    <w:rsid w:val="00231135"/>
    <w:rsid w:val="00231535"/>
    <w:rsid w:val="0023462E"/>
    <w:rsid w:val="0023527D"/>
    <w:rsid w:val="00236B9D"/>
    <w:rsid w:val="002371AB"/>
    <w:rsid w:val="0024436A"/>
    <w:rsid w:val="002444F2"/>
    <w:rsid w:val="002455F6"/>
    <w:rsid w:val="00245DDF"/>
    <w:rsid w:val="00246BB1"/>
    <w:rsid w:val="0025463B"/>
    <w:rsid w:val="002609CE"/>
    <w:rsid w:val="00261D0B"/>
    <w:rsid w:val="00261F6B"/>
    <w:rsid w:val="002630F2"/>
    <w:rsid w:val="00264978"/>
    <w:rsid w:val="00266360"/>
    <w:rsid w:val="002671B4"/>
    <w:rsid w:val="00270BFA"/>
    <w:rsid w:val="00274AAA"/>
    <w:rsid w:val="00282186"/>
    <w:rsid w:val="00282F3C"/>
    <w:rsid w:val="002841A0"/>
    <w:rsid w:val="00287A2A"/>
    <w:rsid w:val="002A03D2"/>
    <w:rsid w:val="002A1D45"/>
    <w:rsid w:val="002A455C"/>
    <w:rsid w:val="002B01F6"/>
    <w:rsid w:val="002B0F40"/>
    <w:rsid w:val="002B3151"/>
    <w:rsid w:val="002B5C8C"/>
    <w:rsid w:val="002B7512"/>
    <w:rsid w:val="002C2756"/>
    <w:rsid w:val="002D2EAD"/>
    <w:rsid w:val="002D75A3"/>
    <w:rsid w:val="002E153D"/>
    <w:rsid w:val="002E19C9"/>
    <w:rsid w:val="002F09E9"/>
    <w:rsid w:val="002F2F12"/>
    <w:rsid w:val="002F5A08"/>
    <w:rsid w:val="002F7235"/>
    <w:rsid w:val="002F7A5B"/>
    <w:rsid w:val="0030724C"/>
    <w:rsid w:val="0030775C"/>
    <w:rsid w:val="00307F45"/>
    <w:rsid w:val="00310655"/>
    <w:rsid w:val="00313307"/>
    <w:rsid w:val="003220D1"/>
    <w:rsid w:val="00323968"/>
    <w:rsid w:val="003247BA"/>
    <w:rsid w:val="00330068"/>
    <w:rsid w:val="0033408A"/>
    <w:rsid w:val="00335326"/>
    <w:rsid w:val="00340925"/>
    <w:rsid w:val="00345A77"/>
    <w:rsid w:val="003477EF"/>
    <w:rsid w:val="00355C66"/>
    <w:rsid w:val="00355F04"/>
    <w:rsid w:val="003708B9"/>
    <w:rsid w:val="00383098"/>
    <w:rsid w:val="00391804"/>
    <w:rsid w:val="003922CA"/>
    <w:rsid w:val="00395380"/>
    <w:rsid w:val="00395B73"/>
    <w:rsid w:val="00396BA2"/>
    <w:rsid w:val="00397A8F"/>
    <w:rsid w:val="003A6BF7"/>
    <w:rsid w:val="003A6DD8"/>
    <w:rsid w:val="003B4D66"/>
    <w:rsid w:val="003B5B90"/>
    <w:rsid w:val="003B6F6F"/>
    <w:rsid w:val="003C0440"/>
    <w:rsid w:val="003C112E"/>
    <w:rsid w:val="003C644A"/>
    <w:rsid w:val="003D3EAF"/>
    <w:rsid w:val="003D5235"/>
    <w:rsid w:val="003D6C7E"/>
    <w:rsid w:val="003E1C83"/>
    <w:rsid w:val="003E4BEE"/>
    <w:rsid w:val="003E6C0D"/>
    <w:rsid w:val="003F0446"/>
    <w:rsid w:val="003F0CE5"/>
    <w:rsid w:val="0040099E"/>
    <w:rsid w:val="00405A09"/>
    <w:rsid w:val="00407A5B"/>
    <w:rsid w:val="004137A5"/>
    <w:rsid w:val="00414C66"/>
    <w:rsid w:val="004213D2"/>
    <w:rsid w:val="004249FB"/>
    <w:rsid w:val="004274BA"/>
    <w:rsid w:val="00427E2D"/>
    <w:rsid w:val="004307F0"/>
    <w:rsid w:val="00435109"/>
    <w:rsid w:val="0043658A"/>
    <w:rsid w:val="00436F2F"/>
    <w:rsid w:val="00440F8D"/>
    <w:rsid w:val="00447D20"/>
    <w:rsid w:val="00451B0C"/>
    <w:rsid w:val="004520E6"/>
    <w:rsid w:val="00453B7E"/>
    <w:rsid w:val="004609D2"/>
    <w:rsid w:val="00464D9B"/>
    <w:rsid w:val="00465966"/>
    <w:rsid w:val="00466BA3"/>
    <w:rsid w:val="00476B22"/>
    <w:rsid w:val="00480C10"/>
    <w:rsid w:val="004815CE"/>
    <w:rsid w:val="00492766"/>
    <w:rsid w:val="00494DA7"/>
    <w:rsid w:val="00497114"/>
    <w:rsid w:val="004A0185"/>
    <w:rsid w:val="004A2255"/>
    <w:rsid w:val="004A6B5F"/>
    <w:rsid w:val="004B24AA"/>
    <w:rsid w:val="004B2854"/>
    <w:rsid w:val="004B63FB"/>
    <w:rsid w:val="004B7073"/>
    <w:rsid w:val="004B7AD3"/>
    <w:rsid w:val="004D0614"/>
    <w:rsid w:val="004D77C7"/>
    <w:rsid w:val="004E11CF"/>
    <w:rsid w:val="004E4AB5"/>
    <w:rsid w:val="004E7045"/>
    <w:rsid w:val="004F3E4F"/>
    <w:rsid w:val="004F4DD5"/>
    <w:rsid w:val="00503DEA"/>
    <w:rsid w:val="005142A4"/>
    <w:rsid w:val="00517037"/>
    <w:rsid w:val="0052258F"/>
    <w:rsid w:val="00523CA8"/>
    <w:rsid w:val="0052425F"/>
    <w:rsid w:val="00530045"/>
    <w:rsid w:val="00532AE4"/>
    <w:rsid w:val="00556B20"/>
    <w:rsid w:val="0055799D"/>
    <w:rsid w:val="00563184"/>
    <w:rsid w:val="00563B95"/>
    <w:rsid w:val="00565F57"/>
    <w:rsid w:val="00566762"/>
    <w:rsid w:val="00567C3B"/>
    <w:rsid w:val="00576B32"/>
    <w:rsid w:val="0058020B"/>
    <w:rsid w:val="00581ED4"/>
    <w:rsid w:val="00582FFC"/>
    <w:rsid w:val="005836DF"/>
    <w:rsid w:val="00583A80"/>
    <w:rsid w:val="005849C8"/>
    <w:rsid w:val="00585BAB"/>
    <w:rsid w:val="00593E68"/>
    <w:rsid w:val="005942BF"/>
    <w:rsid w:val="005A2F43"/>
    <w:rsid w:val="005A4304"/>
    <w:rsid w:val="005B17FF"/>
    <w:rsid w:val="005B3EE5"/>
    <w:rsid w:val="005B4E4B"/>
    <w:rsid w:val="005B732E"/>
    <w:rsid w:val="005B747E"/>
    <w:rsid w:val="005C0741"/>
    <w:rsid w:val="005C2B3E"/>
    <w:rsid w:val="005C4076"/>
    <w:rsid w:val="005D143C"/>
    <w:rsid w:val="005D2009"/>
    <w:rsid w:val="005D22AF"/>
    <w:rsid w:val="005D2D05"/>
    <w:rsid w:val="005E5A44"/>
    <w:rsid w:val="005E757D"/>
    <w:rsid w:val="005F1C04"/>
    <w:rsid w:val="005F2467"/>
    <w:rsid w:val="005F30FC"/>
    <w:rsid w:val="005F4275"/>
    <w:rsid w:val="00600A63"/>
    <w:rsid w:val="0060492B"/>
    <w:rsid w:val="00605415"/>
    <w:rsid w:val="00615333"/>
    <w:rsid w:val="00617D3A"/>
    <w:rsid w:val="00622F79"/>
    <w:rsid w:val="0062683B"/>
    <w:rsid w:val="006273A5"/>
    <w:rsid w:val="00627E37"/>
    <w:rsid w:val="006318B7"/>
    <w:rsid w:val="006320E0"/>
    <w:rsid w:val="00636C7A"/>
    <w:rsid w:val="006427C5"/>
    <w:rsid w:val="00651304"/>
    <w:rsid w:val="00661C73"/>
    <w:rsid w:val="00662758"/>
    <w:rsid w:val="00666F91"/>
    <w:rsid w:val="00667F72"/>
    <w:rsid w:val="00680C01"/>
    <w:rsid w:val="00683353"/>
    <w:rsid w:val="00684C14"/>
    <w:rsid w:val="006859C0"/>
    <w:rsid w:val="00685FB7"/>
    <w:rsid w:val="0068795B"/>
    <w:rsid w:val="006916EE"/>
    <w:rsid w:val="0069798E"/>
    <w:rsid w:val="006A0F4E"/>
    <w:rsid w:val="006A10D5"/>
    <w:rsid w:val="006A1E8E"/>
    <w:rsid w:val="006A2962"/>
    <w:rsid w:val="006A347E"/>
    <w:rsid w:val="006A6BCB"/>
    <w:rsid w:val="006B0142"/>
    <w:rsid w:val="006B16F1"/>
    <w:rsid w:val="006B2D4A"/>
    <w:rsid w:val="006B6D88"/>
    <w:rsid w:val="006C0D74"/>
    <w:rsid w:val="006C4F4A"/>
    <w:rsid w:val="006C5404"/>
    <w:rsid w:val="006D0817"/>
    <w:rsid w:val="006D1083"/>
    <w:rsid w:val="006D41B1"/>
    <w:rsid w:val="006D44E1"/>
    <w:rsid w:val="006D6C42"/>
    <w:rsid w:val="006D7E23"/>
    <w:rsid w:val="006E0B51"/>
    <w:rsid w:val="006E1148"/>
    <w:rsid w:val="006E7AFC"/>
    <w:rsid w:val="006F4596"/>
    <w:rsid w:val="006F681E"/>
    <w:rsid w:val="006F7221"/>
    <w:rsid w:val="00702874"/>
    <w:rsid w:val="00707C6D"/>
    <w:rsid w:val="007114DD"/>
    <w:rsid w:val="00712704"/>
    <w:rsid w:val="007132D9"/>
    <w:rsid w:val="00716330"/>
    <w:rsid w:val="00717729"/>
    <w:rsid w:val="00721861"/>
    <w:rsid w:val="00723C3F"/>
    <w:rsid w:val="00726B72"/>
    <w:rsid w:val="00730677"/>
    <w:rsid w:val="00733716"/>
    <w:rsid w:val="0073371A"/>
    <w:rsid w:val="007367B6"/>
    <w:rsid w:val="007451B4"/>
    <w:rsid w:val="0075061C"/>
    <w:rsid w:val="00750A2B"/>
    <w:rsid w:val="0075188E"/>
    <w:rsid w:val="00753810"/>
    <w:rsid w:val="00755FF5"/>
    <w:rsid w:val="00764F5D"/>
    <w:rsid w:val="00765638"/>
    <w:rsid w:val="00773D3F"/>
    <w:rsid w:val="007805F3"/>
    <w:rsid w:val="0078389A"/>
    <w:rsid w:val="007842AA"/>
    <w:rsid w:val="007874C0"/>
    <w:rsid w:val="00792710"/>
    <w:rsid w:val="0079620F"/>
    <w:rsid w:val="00796D06"/>
    <w:rsid w:val="007A2D12"/>
    <w:rsid w:val="007A5A15"/>
    <w:rsid w:val="007A5F5E"/>
    <w:rsid w:val="007B2E3C"/>
    <w:rsid w:val="007C1C97"/>
    <w:rsid w:val="007C563E"/>
    <w:rsid w:val="007C578D"/>
    <w:rsid w:val="007C68CC"/>
    <w:rsid w:val="007D02B3"/>
    <w:rsid w:val="007D12C2"/>
    <w:rsid w:val="007D499B"/>
    <w:rsid w:val="007E6CA4"/>
    <w:rsid w:val="007E737F"/>
    <w:rsid w:val="007F13CE"/>
    <w:rsid w:val="007F4DB3"/>
    <w:rsid w:val="007F646B"/>
    <w:rsid w:val="00801B68"/>
    <w:rsid w:val="00801CAD"/>
    <w:rsid w:val="00806FB7"/>
    <w:rsid w:val="008071EA"/>
    <w:rsid w:val="00807555"/>
    <w:rsid w:val="0080796F"/>
    <w:rsid w:val="008100BA"/>
    <w:rsid w:val="0081680E"/>
    <w:rsid w:val="008168FC"/>
    <w:rsid w:val="00816AD5"/>
    <w:rsid w:val="00822016"/>
    <w:rsid w:val="00824079"/>
    <w:rsid w:val="0082426C"/>
    <w:rsid w:val="00827FE6"/>
    <w:rsid w:val="008370DE"/>
    <w:rsid w:val="00837A19"/>
    <w:rsid w:val="00837E38"/>
    <w:rsid w:val="008437AA"/>
    <w:rsid w:val="0084502C"/>
    <w:rsid w:val="008470AE"/>
    <w:rsid w:val="008478AE"/>
    <w:rsid w:val="00851C2F"/>
    <w:rsid w:val="00852E08"/>
    <w:rsid w:val="00856C39"/>
    <w:rsid w:val="00856F8B"/>
    <w:rsid w:val="008671A8"/>
    <w:rsid w:val="00872243"/>
    <w:rsid w:val="00876333"/>
    <w:rsid w:val="00876A58"/>
    <w:rsid w:val="0088638D"/>
    <w:rsid w:val="008A297C"/>
    <w:rsid w:val="008B734D"/>
    <w:rsid w:val="008B783A"/>
    <w:rsid w:val="008C02B6"/>
    <w:rsid w:val="008C0A55"/>
    <w:rsid w:val="008C6DD4"/>
    <w:rsid w:val="008D1959"/>
    <w:rsid w:val="008D6E87"/>
    <w:rsid w:val="008D7B14"/>
    <w:rsid w:val="008E7BA6"/>
    <w:rsid w:val="008F2539"/>
    <w:rsid w:val="008F3D3C"/>
    <w:rsid w:val="00900E5E"/>
    <w:rsid w:val="00901906"/>
    <w:rsid w:val="00906145"/>
    <w:rsid w:val="00911943"/>
    <w:rsid w:val="00913B8E"/>
    <w:rsid w:val="00913F0E"/>
    <w:rsid w:val="009171C1"/>
    <w:rsid w:val="009205DC"/>
    <w:rsid w:val="00921F0C"/>
    <w:rsid w:val="00922126"/>
    <w:rsid w:val="00926508"/>
    <w:rsid w:val="0093428D"/>
    <w:rsid w:val="00936711"/>
    <w:rsid w:val="009369AD"/>
    <w:rsid w:val="00942C62"/>
    <w:rsid w:val="00942F05"/>
    <w:rsid w:val="00945311"/>
    <w:rsid w:val="0095246F"/>
    <w:rsid w:val="00954335"/>
    <w:rsid w:val="00960E68"/>
    <w:rsid w:val="00967A2E"/>
    <w:rsid w:val="00974D86"/>
    <w:rsid w:val="00975C36"/>
    <w:rsid w:val="00983565"/>
    <w:rsid w:val="009846DA"/>
    <w:rsid w:val="00990C35"/>
    <w:rsid w:val="00992EF7"/>
    <w:rsid w:val="00992F65"/>
    <w:rsid w:val="0099337F"/>
    <w:rsid w:val="0099391D"/>
    <w:rsid w:val="00994BED"/>
    <w:rsid w:val="009A5549"/>
    <w:rsid w:val="009A5B1C"/>
    <w:rsid w:val="009A6C80"/>
    <w:rsid w:val="009A7EC1"/>
    <w:rsid w:val="009B1208"/>
    <w:rsid w:val="009C211A"/>
    <w:rsid w:val="009D12DE"/>
    <w:rsid w:val="009E06A7"/>
    <w:rsid w:val="009E4721"/>
    <w:rsid w:val="009F0808"/>
    <w:rsid w:val="009F1182"/>
    <w:rsid w:val="009F1677"/>
    <w:rsid w:val="00A07ADB"/>
    <w:rsid w:val="00A101B5"/>
    <w:rsid w:val="00A14064"/>
    <w:rsid w:val="00A15AF3"/>
    <w:rsid w:val="00A166D2"/>
    <w:rsid w:val="00A207EB"/>
    <w:rsid w:val="00A23EF1"/>
    <w:rsid w:val="00A2593D"/>
    <w:rsid w:val="00A270EA"/>
    <w:rsid w:val="00A3109C"/>
    <w:rsid w:val="00A3150D"/>
    <w:rsid w:val="00A3404C"/>
    <w:rsid w:val="00A345EB"/>
    <w:rsid w:val="00A445DA"/>
    <w:rsid w:val="00A44F9F"/>
    <w:rsid w:val="00A45EED"/>
    <w:rsid w:val="00A4782A"/>
    <w:rsid w:val="00A47DB0"/>
    <w:rsid w:val="00A522BB"/>
    <w:rsid w:val="00A55741"/>
    <w:rsid w:val="00A604FD"/>
    <w:rsid w:val="00A72188"/>
    <w:rsid w:val="00A72D38"/>
    <w:rsid w:val="00A7378B"/>
    <w:rsid w:val="00A73A3B"/>
    <w:rsid w:val="00A73DC7"/>
    <w:rsid w:val="00A74FAD"/>
    <w:rsid w:val="00A867CA"/>
    <w:rsid w:val="00A91220"/>
    <w:rsid w:val="00A9130D"/>
    <w:rsid w:val="00AA259A"/>
    <w:rsid w:val="00AB0C00"/>
    <w:rsid w:val="00AB0D75"/>
    <w:rsid w:val="00AB0E74"/>
    <w:rsid w:val="00AB172D"/>
    <w:rsid w:val="00AB4947"/>
    <w:rsid w:val="00AB79ED"/>
    <w:rsid w:val="00AC2BF7"/>
    <w:rsid w:val="00AC36C2"/>
    <w:rsid w:val="00AC4B40"/>
    <w:rsid w:val="00AD1CFF"/>
    <w:rsid w:val="00AD6F0F"/>
    <w:rsid w:val="00AD777E"/>
    <w:rsid w:val="00AE14C3"/>
    <w:rsid w:val="00AE32B0"/>
    <w:rsid w:val="00AF1FB4"/>
    <w:rsid w:val="00B0017E"/>
    <w:rsid w:val="00B03D79"/>
    <w:rsid w:val="00B1056A"/>
    <w:rsid w:val="00B255CE"/>
    <w:rsid w:val="00B30F45"/>
    <w:rsid w:val="00B311CD"/>
    <w:rsid w:val="00B32B83"/>
    <w:rsid w:val="00B32DB9"/>
    <w:rsid w:val="00B33A8E"/>
    <w:rsid w:val="00B35E7E"/>
    <w:rsid w:val="00B41F63"/>
    <w:rsid w:val="00B4487D"/>
    <w:rsid w:val="00B52BCE"/>
    <w:rsid w:val="00B62AC1"/>
    <w:rsid w:val="00B715DE"/>
    <w:rsid w:val="00B73F4D"/>
    <w:rsid w:val="00B82A74"/>
    <w:rsid w:val="00B93A11"/>
    <w:rsid w:val="00B97C90"/>
    <w:rsid w:val="00BA04D4"/>
    <w:rsid w:val="00BA25BE"/>
    <w:rsid w:val="00BA7069"/>
    <w:rsid w:val="00BB17F6"/>
    <w:rsid w:val="00BB230B"/>
    <w:rsid w:val="00BB2EA8"/>
    <w:rsid w:val="00BB3016"/>
    <w:rsid w:val="00BB3F0B"/>
    <w:rsid w:val="00BB7EF5"/>
    <w:rsid w:val="00BC14E8"/>
    <w:rsid w:val="00BC35FC"/>
    <w:rsid w:val="00BC3D1B"/>
    <w:rsid w:val="00BD4132"/>
    <w:rsid w:val="00BD503F"/>
    <w:rsid w:val="00BD50EA"/>
    <w:rsid w:val="00BE0D48"/>
    <w:rsid w:val="00BE26E9"/>
    <w:rsid w:val="00BE4DD1"/>
    <w:rsid w:val="00BE693F"/>
    <w:rsid w:val="00BF35C8"/>
    <w:rsid w:val="00BF3CBD"/>
    <w:rsid w:val="00C0260D"/>
    <w:rsid w:val="00C171E2"/>
    <w:rsid w:val="00C17F2B"/>
    <w:rsid w:val="00C211B3"/>
    <w:rsid w:val="00C21A13"/>
    <w:rsid w:val="00C23977"/>
    <w:rsid w:val="00C247E9"/>
    <w:rsid w:val="00C260C4"/>
    <w:rsid w:val="00C26A7E"/>
    <w:rsid w:val="00C30079"/>
    <w:rsid w:val="00C309B0"/>
    <w:rsid w:val="00C31E09"/>
    <w:rsid w:val="00C34821"/>
    <w:rsid w:val="00C40D0B"/>
    <w:rsid w:val="00C410BD"/>
    <w:rsid w:val="00C412E3"/>
    <w:rsid w:val="00C467DE"/>
    <w:rsid w:val="00C64390"/>
    <w:rsid w:val="00C73836"/>
    <w:rsid w:val="00C74762"/>
    <w:rsid w:val="00C828F4"/>
    <w:rsid w:val="00C83B60"/>
    <w:rsid w:val="00C87D60"/>
    <w:rsid w:val="00C87DF1"/>
    <w:rsid w:val="00C92F89"/>
    <w:rsid w:val="00C9538D"/>
    <w:rsid w:val="00C96371"/>
    <w:rsid w:val="00CA7E57"/>
    <w:rsid w:val="00CB0F86"/>
    <w:rsid w:val="00CB7F60"/>
    <w:rsid w:val="00CC2E4C"/>
    <w:rsid w:val="00CC33BA"/>
    <w:rsid w:val="00CD1E82"/>
    <w:rsid w:val="00CD64E9"/>
    <w:rsid w:val="00CD7C3F"/>
    <w:rsid w:val="00CE1DD6"/>
    <w:rsid w:val="00CE2C13"/>
    <w:rsid w:val="00CE3D54"/>
    <w:rsid w:val="00CE7551"/>
    <w:rsid w:val="00CF081F"/>
    <w:rsid w:val="00CF54F6"/>
    <w:rsid w:val="00CF71B8"/>
    <w:rsid w:val="00CF7B47"/>
    <w:rsid w:val="00D01CF8"/>
    <w:rsid w:val="00D01ED6"/>
    <w:rsid w:val="00D04F48"/>
    <w:rsid w:val="00D07B09"/>
    <w:rsid w:val="00D17B67"/>
    <w:rsid w:val="00D17B91"/>
    <w:rsid w:val="00D24D3F"/>
    <w:rsid w:val="00D2606B"/>
    <w:rsid w:val="00D26961"/>
    <w:rsid w:val="00D328C5"/>
    <w:rsid w:val="00D329B2"/>
    <w:rsid w:val="00D33E24"/>
    <w:rsid w:val="00D43E55"/>
    <w:rsid w:val="00D52BD0"/>
    <w:rsid w:val="00D5360D"/>
    <w:rsid w:val="00D55119"/>
    <w:rsid w:val="00D604CB"/>
    <w:rsid w:val="00D623CA"/>
    <w:rsid w:val="00D62E97"/>
    <w:rsid w:val="00D7446D"/>
    <w:rsid w:val="00D761A1"/>
    <w:rsid w:val="00D81236"/>
    <w:rsid w:val="00D83414"/>
    <w:rsid w:val="00D869EC"/>
    <w:rsid w:val="00D875B0"/>
    <w:rsid w:val="00D8763B"/>
    <w:rsid w:val="00D90C49"/>
    <w:rsid w:val="00D9320A"/>
    <w:rsid w:val="00D959CF"/>
    <w:rsid w:val="00D963FD"/>
    <w:rsid w:val="00D978CD"/>
    <w:rsid w:val="00DA1A72"/>
    <w:rsid w:val="00DB0E04"/>
    <w:rsid w:val="00DB1FD1"/>
    <w:rsid w:val="00DB48B5"/>
    <w:rsid w:val="00DB5A72"/>
    <w:rsid w:val="00DC0BF0"/>
    <w:rsid w:val="00DC37B5"/>
    <w:rsid w:val="00DC3AA3"/>
    <w:rsid w:val="00DD0468"/>
    <w:rsid w:val="00DD0AEE"/>
    <w:rsid w:val="00DD18E2"/>
    <w:rsid w:val="00DE2EFC"/>
    <w:rsid w:val="00E007A3"/>
    <w:rsid w:val="00E031FA"/>
    <w:rsid w:val="00E048DB"/>
    <w:rsid w:val="00E078FA"/>
    <w:rsid w:val="00E07F08"/>
    <w:rsid w:val="00E11B4C"/>
    <w:rsid w:val="00E130E2"/>
    <w:rsid w:val="00E13E74"/>
    <w:rsid w:val="00E1549D"/>
    <w:rsid w:val="00E15FE5"/>
    <w:rsid w:val="00E23160"/>
    <w:rsid w:val="00E3050A"/>
    <w:rsid w:val="00E30A2F"/>
    <w:rsid w:val="00E30F5F"/>
    <w:rsid w:val="00E3703F"/>
    <w:rsid w:val="00E3754D"/>
    <w:rsid w:val="00E41C64"/>
    <w:rsid w:val="00E431D5"/>
    <w:rsid w:val="00E45D65"/>
    <w:rsid w:val="00E46AD5"/>
    <w:rsid w:val="00E46F64"/>
    <w:rsid w:val="00E47495"/>
    <w:rsid w:val="00E516F2"/>
    <w:rsid w:val="00E54B75"/>
    <w:rsid w:val="00E55AA6"/>
    <w:rsid w:val="00E56F22"/>
    <w:rsid w:val="00E6194C"/>
    <w:rsid w:val="00E64D0F"/>
    <w:rsid w:val="00E713E1"/>
    <w:rsid w:val="00E714F1"/>
    <w:rsid w:val="00E719D4"/>
    <w:rsid w:val="00E756B4"/>
    <w:rsid w:val="00E76D15"/>
    <w:rsid w:val="00E82A19"/>
    <w:rsid w:val="00E83ED3"/>
    <w:rsid w:val="00E87840"/>
    <w:rsid w:val="00E90A3F"/>
    <w:rsid w:val="00E911F5"/>
    <w:rsid w:val="00E965D6"/>
    <w:rsid w:val="00EA0876"/>
    <w:rsid w:val="00EB2C9E"/>
    <w:rsid w:val="00ED2524"/>
    <w:rsid w:val="00ED767E"/>
    <w:rsid w:val="00EE5A5C"/>
    <w:rsid w:val="00EE725E"/>
    <w:rsid w:val="00EF00F4"/>
    <w:rsid w:val="00EF1A7A"/>
    <w:rsid w:val="00F010AC"/>
    <w:rsid w:val="00F0148B"/>
    <w:rsid w:val="00F10474"/>
    <w:rsid w:val="00F11D8D"/>
    <w:rsid w:val="00F20086"/>
    <w:rsid w:val="00F24041"/>
    <w:rsid w:val="00F24B26"/>
    <w:rsid w:val="00F2585E"/>
    <w:rsid w:val="00F27677"/>
    <w:rsid w:val="00F30F67"/>
    <w:rsid w:val="00F37BA7"/>
    <w:rsid w:val="00F37E57"/>
    <w:rsid w:val="00F42386"/>
    <w:rsid w:val="00F4385D"/>
    <w:rsid w:val="00F457B1"/>
    <w:rsid w:val="00F51860"/>
    <w:rsid w:val="00F5361E"/>
    <w:rsid w:val="00F53F43"/>
    <w:rsid w:val="00F569F4"/>
    <w:rsid w:val="00F60EBF"/>
    <w:rsid w:val="00F64620"/>
    <w:rsid w:val="00F663E9"/>
    <w:rsid w:val="00F708C6"/>
    <w:rsid w:val="00F74812"/>
    <w:rsid w:val="00F8040E"/>
    <w:rsid w:val="00F86B49"/>
    <w:rsid w:val="00F94C82"/>
    <w:rsid w:val="00F969CB"/>
    <w:rsid w:val="00F96F78"/>
    <w:rsid w:val="00F97E35"/>
    <w:rsid w:val="00FA2184"/>
    <w:rsid w:val="00FA6CA1"/>
    <w:rsid w:val="00FB3887"/>
    <w:rsid w:val="00FC0483"/>
    <w:rsid w:val="00FC0506"/>
    <w:rsid w:val="00FC1B51"/>
    <w:rsid w:val="00FC7D58"/>
    <w:rsid w:val="00FD053C"/>
    <w:rsid w:val="00FD3092"/>
    <w:rsid w:val="00FD3996"/>
    <w:rsid w:val="00FD7F4D"/>
    <w:rsid w:val="00FE47F1"/>
    <w:rsid w:val="00FF4ABA"/>
    <w:rsid w:val="00FF5F0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655F3"/>
  <w15:chartTrackingRefBased/>
  <w15:docId w15:val="{BA45BEED-6700-4D3C-B68B-7DFA6CE8A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7C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7C7"/>
    <w:pPr>
      <w:ind w:left="720"/>
      <w:contextualSpacing/>
    </w:pPr>
    <w:rPr>
      <w:lang w:val="en-ZA"/>
    </w:rPr>
  </w:style>
  <w:style w:type="paragraph" w:styleId="Header">
    <w:name w:val="header"/>
    <w:basedOn w:val="Normal"/>
    <w:link w:val="HeaderChar"/>
    <w:uiPriority w:val="99"/>
    <w:unhideWhenUsed/>
    <w:rsid w:val="00C738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836"/>
    <w:rPr>
      <w:lang w:val="en-US"/>
    </w:rPr>
  </w:style>
  <w:style w:type="paragraph" w:styleId="Footer">
    <w:name w:val="footer"/>
    <w:basedOn w:val="Normal"/>
    <w:link w:val="FooterChar"/>
    <w:uiPriority w:val="99"/>
    <w:unhideWhenUsed/>
    <w:rsid w:val="00C738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836"/>
    <w:rPr>
      <w:lang w:val="en-US"/>
    </w:rPr>
  </w:style>
  <w:style w:type="paragraph" w:styleId="FootnoteText">
    <w:name w:val="footnote text"/>
    <w:basedOn w:val="Normal"/>
    <w:link w:val="FootnoteTextChar"/>
    <w:uiPriority w:val="99"/>
    <w:unhideWhenUsed/>
    <w:rsid w:val="00AE14C3"/>
    <w:pPr>
      <w:spacing w:after="0" w:line="240" w:lineRule="auto"/>
    </w:pPr>
    <w:rPr>
      <w:sz w:val="20"/>
      <w:szCs w:val="20"/>
    </w:rPr>
  </w:style>
  <w:style w:type="character" w:customStyle="1" w:styleId="FootnoteTextChar">
    <w:name w:val="Footnote Text Char"/>
    <w:basedOn w:val="DefaultParagraphFont"/>
    <w:link w:val="FootnoteText"/>
    <w:uiPriority w:val="99"/>
    <w:rsid w:val="00AE14C3"/>
    <w:rPr>
      <w:sz w:val="20"/>
      <w:szCs w:val="20"/>
      <w:lang w:val="en-US"/>
    </w:rPr>
  </w:style>
  <w:style w:type="character" w:styleId="FootnoteReference">
    <w:name w:val="footnote reference"/>
    <w:basedOn w:val="DefaultParagraphFont"/>
    <w:uiPriority w:val="99"/>
    <w:semiHidden/>
    <w:unhideWhenUsed/>
    <w:rsid w:val="00AE14C3"/>
    <w:rPr>
      <w:vertAlign w:val="superscript"/>
    </w:rPr>
  </w:style>
  <w:style w:type="paragraph" w:customStyle="1" w:styleId="JudgmentNumbered">
    <w:name w:val="Judgment Numbered"/>
    <w:basedOn w:val="Normal"/>
    <w:link w:val="JudgmentNumberedChar"/>
    <w:qFormat/>
    <w:rsid w:val="007D12C2"/>
    <w:pPr>
      <w:numPr>
        <w:numId w:val="22"/>
      </w:numPr>
      <w:spacing w:after="240" w:line="360" w:lineRule="auto"/>
      <w:jc w:val="both"/>
    </w:pPr>
    <w:rPr>
      <w:rFonts w:ascii="Arial" w:eastAsia="Times New Roman" w:hAnsi="Arial" w:cs="Arial"/>
      <w:sz w:val="24"/>
      <w:lang w:val="en-GB"/>
    </w:rPr>
  </w:style>
  <w:style w:type="character" w:customStyle="1" w:styleId="JudgmentNumberedChar">
    <w:name w:val="Judgment Numbered Char"/>
    <w:basedOn w:val="DefaultParagraphFont"/>
    <w:link w:val="JudgmentNumbered"/>
    <w:rsid w:val="007D12C2"/>
    <w:rPr>
      <w:rFonts w:ascii="Arial" w:eastAsia="Times New Roman" w:hAnsi="Arial" w:cs="Arial"/>
      <w:sz w:val="24"/>
      <w:lang w:val="en-GB"/>
    </w:rPr>
  </w:style>
  <w:style w:type="paragraph" w:styleId="BalloonText">
    <w:name w:val="Balloon Text"/>
    <w:basedOn w:val="Normal"/>
    <w:link w:val="BalloonTextChar"/>
    <w:uiPriority w:val="99"/>
    <w:semiHidden/>
    <w:unhideWhenUsed/>
    <w:rsid w:val="00AD7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77E"/>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60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BA229-8D7E-46B2-A1A4-15F9132FB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Pages>
  <Words>2855</Words>
  <Characters>16279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 Pearl</dc:creator>
  <cp:keywords/>
  <dc:description/>
  <cp:lastModifiedBy>Mary Bruce</cp:lastModifiedBy>
  <cp:revision>3</cp:revision>
  <cp:lastPrinted>2024-05-22T07:27:00Z</cp:lastPrinted>
  <dcterms:created xsi:type="dcterms:W3CDTF">2024-05-22T08:21:00Z</dcterms:created>
  <dcterms:modified xsi:type="dcterms:W3CDTF">2024-05-29T08:18:00Z</dcterms:modified>
</cp:coreProperties>
</file>