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4179" w14:textId="77777777" w:rsidR="008F6C74" w:rsidRDefault="00E725B4">
      <w:pPr>
        <w:widowControl w:val="0"/>
        <w:pBdr>
          <w:top w:val="nil"/>
          <w:left w:val="nil"/>
          <w:bottom w:val="nil"/>
          <w:right w:val="nil"/>
          <w:between w:val="nil"/>
        </w:pBdr>
        <w:spacing w:after="0" w:line="276" w:lineRule="auto"/>
        <w:jc w:val="center"/>
        <w:rPr>
          <w:rFonts w:ascii="Arial" w:eastAsia="Arial" w:hAnsi="Arial" w:cs="Arial"/>
          <w:b/>
        </w:rPr>
      </w:pPr>
      <w:bookmarkStart w:id="0" w:name="_GoBack"/>
      <w:bookmarkEnd w:id="0"/>
      <w:r>
        <w:rPr>
          <w:rFonts w:ascii="Arial" w:eastAsia="Arial" w:hAnsi="Arial" w:cs="Arial"/>
          <w:b/>
        </w:rPr>
        <w:t>SPECIAL TRIBUNAL OF SOUTH AFRICA</w:t>
      </w:r>
    </w:p>
    <w:p w14:paraId="45596F96" w14:textId="77777777" w:rsidR="008F6C74" w:rsidRDefault="00E725B4">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Judgment summary</w:t>
      </w:r>
    </w:p>
    <w:p w14:paraId="131AA2EA" w14:textId="77777777" w:rsidR="008F6C74" w:rsidRDefault="008F6C74">
      <w:pPr>
        <w:widowControl w:val="0"/>
        <w:pBdr>
          <w:top w:val="nil"/>
          <w:left w:val="nil"/>
          <w:bottom w:val="nil"/>
          <w:right w:val="nil"/>
          <w:between w:val="nil"/>
        </w:pBdr>
        <w:spacing w:after="0" w:line="276" w:lineRule="auto"/>
        <w:jc w:val="center"/>
        <w:rPr>
          <w:rFonts w:ascii="Arial" w:eastAsia="Arial" w:hAnsi="Arial" w:cs="Arial"/>
          <w:b/>
        </w:rPr>
      </w:pPr>
    </w:p>
    <w:tbl>
      <w:tblPr>
        <w:tblStyle w:val="a1"/>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tblGrid>
      <w:tr w:rsidR="008F6C74" w14:paraId="1C341447" w14:textId="77777777">
        <w:tc>
          <w:tcPr>
            <w:tcW w:w="9007" w:type="dxa"/>
            <w:gridSpan w:val="2"/>
          </w:tcPr>
          <w:p w14:paraId="7FE8ACA4" w14:textId="709359F7" w:rsidR="008F6C74" w:rsidRDefault="000F3EB6">
            <w:pPr>
              <w:spacing w:after="0" w:line="276" w:lineRule="auto"/>
              <w:jc w:val="center"/>
              <w:rPr>
                <w:rFonts w:ascii="Gill Sans" w:eastAsia="Gill Sans" w:hAnsi="Gill Sans" w:cs="Gill Sans"/>
                <w:b/>
                <w:i/>
              </w:rPr>
            </w:pPr>
            <w:r w:rsidRPr="000F3EB6">
              <w:rPr>
                <w:rFonts w:ascii="Gill Sans" w:eastAsia="Gill Sans" w:hAnsi="Gill Sans" w:cs="Gill Sans"/>
                <w:b/>
                <w:i/>
              </w:rPr>
              <w:t>Special Investigating Unit v Netshidaulu and Others</w:t>
            </w:r>
          </w:p>
        </w:tc>
      </w:tr>
      <w:tr w:rsidR="008F6C74" w14:paraId="25870091" w14:textId="77777777">
        <w:tc>
          <w:tcPr>
            <w:tcW w:w="2689" w:type="dxa"/>
          </w:tcPr>
          <w:p w14:paraId="14FAB5A5"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t>URL</w:t>
            </w:r>
          </w:p>
        </w:tc>
        <w:tc>
          <w:tcPr>
            <w:tcW w:w="6318" w:type="dxa"/>
          </w:tcPr>
          <w:p w14:paraId="71174A36" w14:textId="0CEB1F6A" w:rsidR="008F6C74" w:rsidRDefault="00F95EA3">
            <w:pPr>
              <w:spacing w:after="0" w:line="276" w:lineRule="auto"/>
              <w:jc w:val="both"/>
              <w:rPr>
                <w:rFonts w:ascii="Gill Sans" w:eastAsia="Gill Sans" w:hAnsi="Gill Sans" w:cs="Gill Sans"/>
              </w:rPr>
            </w:pPr>
            <w:r>
              <w:rPr>
                <w:rFonts w:ascii="Gill Sans" w:eastAsia="Gill Sans" w:hAnsi="Gill Sans" w:cs="Gill Sans"/>
              </w:rPr>
              <w:t>[TBC]</w:t>
            </w:r>
          </w:p>
        </w:tc>
      </w:tr>
      <w:tr w:rsidR="008F6C74" w14:paraId="5C2CC8D7" w14:textId="77777777">
        <w:tc>
          <w:tcPr>
            <w:tcW w:w="2689" w:type="dxa"/>
          </w:tcPr>
          <w:p w14:paraId="472D7365"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t>Citations</w:t>
            </w:r>
          </w:p>
        </w:tc>
        <w:tc>
          <w:tcPr>
            <w:tcW w:w="6318" w:type="dxa"/>
          </w:tcPr>
          <w:p w14:paraId="35B0D6CA" w14:textId="5FC3BBC4" w:rsidR="008F6C74" w:rsidRDefault="00F95EA3">
            <w:pPr>
              <w:spacing w:after="0" w:line="276" w:lineRule="auto"/>
              <w:jc w:val="both"/>
              <w:rPr>
                <w:rFonts w:ascii="Gill Sans" w:eastAsia="Gill Sans" w:hAnsi="Gill Sans" w:cs="Gill Sans"/>
              </w:rPr>
            </w:pPr>
            <w:r>
              <w:rPr>
                <w:rFonts w:ascii="Gill Sans" w:eastAsia="Gill Sans" w:hAnsi="Gill Sans" w:cs="Gill Sans"/>
              </w:rPr>
              <w:t>[TBC]</w:t>
            </w:r>
          </w:p>
        </w:tc>
      </w:tr>
      <w:tr w:rsidR="008F6C74" w14:paraId="30C7DE90" w14:textId="77777777">
        <w:tc>
          <w:tcPr>
            <w:tcW w:w="2689" w:type="dxa"/>
          </w:tcPr>
          <w:p w14:paraId="3D21C88E"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t>Date of judgment</w:t>
            </w:r>
          </w:p>
        </w:tc>
        <w:tc>
          <w:tcPr>
            <w:tcW w:w="6318" w:type="dxa"/>
          </w:tcPr>
          <w:p w14:paraId="5417D15E" w14:textId="5F8318F0" w:rsidR="008F6C74" w:rsidRDefault="00F95EA3">
            <w:pPr>
              <w:spacing w:after="0" w:line="276" w:lineRule="auto"/>
              <w:jc w:val="both"/>
              <w:rPr>
                <w:rFonts w:ascii="Gill Sans" w:eastAsia="Gill Sans" w:hAnsi="Gill Sans" w:cs="Gill Sans"/>
              </w:rPr>
            </w:pPr>
            <w:r>
              <w:rPr>
                <w:rFonts w:ascii="Gill Sans" w:eastAsia="Gill Sans" w:hAnsi="Gill Sans" w:cs="Gill Sans"/>
              </w:rPr>
              <w:t>16 May 2024</w:t>
            </w:r>
          </w:p>
        </w:tc>
      </w:tr>
      <w:tr w:rsidR="008F6C74" w14:paraId="3483C8F3" w14:textId="77777777">
        <w:tc>
          <w:tcPr>
            <w:tcW w:w="2689" w:type="dxa"/>
          </w:tcPr>
          <w:p w14:paraId="7EB204DD" w14:textId="77777777" w:rsidR="008F6C74" w:rsidRDefault="00E725B4">
            <w:pPr>
              <w:spacing w:after="0" w:line="276"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Keyword(s):</w:t>
            </w:r>
            <w:r>
              <w:rPr>
                <w:rFonts w:ascii="Gill Sans" w:eastAsia="Gill Sans" w:hAnsi="Gill Sans" w:cs="Gill Sans"/>
                <w:color w:val="000000"/>
                <w:sz w:val="24"/>
                <w:szCs w:val="24"/>
                <w:vertAlign w:val="superscript"/>
              </w:rPr>
              <w:footnoteReference w:id="1"/>
            </w:r>
          </w:p>
        </w:tc>
        <w:tc>
          <w:tcPr>
            <w:tcW w:w="6318" w:type="dxa"/>
          </w:tcPr>
          <w:p w14:paraId="0E71883A" w14:textId="3EFA4480" w:rsidR="008F6C74" w:rsidRDefault="00C41C2E">
            <w:pPr>
              <w:spacing w:after="0" w:line="276" w:lineRule="auto"/>
              <w:jc w:val="both"/>
              <w:rPr>
                <w:rFonts w:ascii="Gill Sans" w:eastAsia="Gill Sans" w:hAnsi="Gill Sans" w:cs="Gill Sans"/>
              </w:rPr>
            </w:pPr>
            <w:r>
              <w:rPr>
                <w:rFonts w:ascii="Gill Sans" w:eastAsia="Gill Sans" w:hAnsi="Gill Sans" w:cs="Gill Sans"/>
              </w:rPr>
              <w:t xml:space="preserve">Application, civil proceedings, Special Tribunal, </w:t>
            </w:r>
            <w:r w:rsidR="00ED6F46">
              <w:rPr>
                <w:rFonts w:ascii="Gill Sans" w:eastAsia="Gill Sans" w:hAnsi="Gill Sans" w:cs="Gill Sans"/>
              </w:rPr>
              <w:t>interdict, interim interdict, procurement</w:t>
            </w:r>
            <w:r w:rsidR="00186B9D">
              <w:rPr>
                <w:rFonts w:ascii="Gill Sans" w:eastAsia="Gill Sans" w:hAnsi="Gill Sans" w:cs="Gill Sans"/>
              </w:rPr>
              <w:t xml:space="preserve"> process, irregularity</w:t>
            </w:r>
            <w:r w:rsidR="00ED6F46">
              <w:rPr>
                <w:rFonts w:ascii="Gill Sans" w:eastAsia="Gill Sans" w:hAnsi="Gill Sans" w:cs="Gill Sans"/>
              </w:rPr>
              <w:t xml:space="preserve">, unlawful, </w:t>
            </w:r>
            <w:r w:rsidR="00186B9D">
              <w:rPr>
                <w:rFonts w:ascii="Gill Sans" w:eastAsia="Gill Sans" w:hAnsi="Gill Sans" w:cs="Gill Sans"/>
              </w:rPr>
              <w:t>damages, double jeopardy</w:t>
            </w:r>
            <w:r w:rsidR="00E424A6">
              <w:rPr>
                <w:rFonts w:ascii="Gill Sans" w:eastAsia="Gill Sans" w:hAnsi="Gill Sans" w:cs="Gill Sans"/>
              </w:rPr>
              <w:t xml:space="preserve">, costs </w:t>
            </w:r>
          </w:p>
        </w:tc>
      </w:tr>
      <w:tr w:rsidR="008F6C74" w14:paraId="5DA2909A" w14:textId="77777777">
        <w:tc>
          <w:tcPr>
            <w:tcW w:w="2689" w:type="dxa"/>
          </w:tcPr>
          <w:p w14:paraId="3EC0EEBD"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t>Case type</w:t>
            </w:r>
            <w:r>
              <w:rPr>
                <w:rFonts w:ascii="Gill Sans" w:eastAsia="Gill Sans" w:hAnsi="Gill Sans" w:cs="Gill Sans"/>
                <w:vertAlign w:val="superscript"/>
              </w:rPr>
              <w:footnoteReference w:id="2"/>
            </w:r>
          </w:p>
        </w:tc>
        <w:tc>
          <w:tcPr>
            <w:tcW w:w="6318" w:type="dxa"/>
          </w:tcPr>
          <w:p w14:paraId="0A93A80C" w14:textId="59180D9B" w:rsidR="008F6C74" w:rsidRDefault="00C41C2E">
            <w:pPr>
              <w:spacing w:after="0" w:line="276" w:lineRule="auto"/>
              <w:jc w:val="both"/>
              <w:rPr>
                <w:rFonts w:ascii="Gill Sans" w:eastAsia="Gill Sans" w:hAnsi="Gill Sans" w:cs="Gill Sans"/>
              </w:rPr>
            </w:pPr>
            <w:r>
              <w:rPr>
                <w:rFonts w:ascii="Gill Sans" w:eastAsia="Gill Sans" w:hAnsi="Gill Sans" w:cs="Gill Sans"/>
              </w:rPr>
              <w:t xml:space="preserve">Application </w:t>
            </w:r>
          </w:p>
        </w:tc>
      </w:tr>
      <w:tr w:rsidR="008F6C74" w14:paraId="23BBBA81" w14:textId="77777777">
        <w:tc>
          <w:tcPr>
            <w:tcW w:w="2689" w:type="dxa"/>
          </w:tcPr>
          <w:p w14:paraId="40923F48"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t>Result</w:t>
            </w:r>
          </w:p>
        </w:tc>
        <w:tc>
          <w:tcPr>
            <w:tcW w:w="6318" w:type="dxa"/>
          </w:tcPr>
          <w:p w14:paraId="4592971B" w14:textId="2FD86E0D" w:rsidR="008F6C74" w:rsidRDefault="00CC11FF">
            <w:pPr>
              <w:spacing w:after="0" w:line="276" w:lineRule="auto"/>
              <w:jc w:val="both"/>
              <w:rPr>
                <w:rFonts w:ascii="Gill Sans" w:eastAsia="Gill Sans" w:hAnsi="Gill Sans" w:cs="Gill Sans"/>
              </w:rPr>
            </w:pPr>
            <w:r>
              <w:rPr>
                <w:rFonts w:ascii="Gill Sans" w:eastAsia="Gill Sans" w:hAnsi="Gill Sans" w:cs="Gill Sans"/>
              </w:rPr>
              <w:t xml:space="preserve">Dismissed with costs </w:t>
            </w:r>
          </w:p>
        </w:tc>
      </w:tr>
      <w:tr w:rsidR="008F6C74" w14:paraId="39B9FE4B" w14:textId="77777777">
        <w:tc>
          <w:tcPr>
            <w:tcW w:w="2689" w:type="dxa"/>
          </w:tcPr>
          <w:p w14:paraId="73EEBC94" w14:textId="77777777" w:rsidR="008F6C74" w:rsidRDefault="00E725B4">
            <w:pPr>
              <w:spacing w:after="0" w:line="276" w:lineRule="auto"/>
              <w:jc w:val="both"/>
              <w:rPr>
                <w:rFonts w:ascii="Gill Sans" w:eastAsia="Gill Sans" w:hAnsi="Gill Sans" w:cs="Gill Sans"/>
              </w:rPr>
            </w:pPr>
            <w:proofErr w:type="spellStart"/>
            <w:r>
              <w:rPr>
                <w:rFonts w:ascii="Gill Sans" w:eastAsia="Gill Sans" w:hAnsi="Gill Sans" w:cs="Gill Sans"/>
              </w:rPr>
              <w:t>Flynote</w:t>
            </w:r>
            <w:proofErr w:type="spellEnd"/>
            <w:r>
              <w:rPr>
                <w:rFonts w:ascii="Gill Sans" w:eastAsia="Gill Sans" w:hAnsi="Gill Sans" w:cs="Gill Sans"/>
                <w:vertAlign w:val="superscript"/>
              </w:rPr>
              <w:footnoteReference w:id="3"/>
            </w:r>
          </w:p>
        </w:tc>
        <w:tc>
          <w:tcPr>
            <w:tcW w:w="6318" w:type="dxa"/>
          </w:tcPr>
          <w:p w14:paraId="28C5722D" w14:textId="7064AD20" w:rsidR="008F6C74" w:rsidRDefault="00C41C2E">
            <w:pPr>
              <w:spacing w:after="0" w:line="276" w:lineRule="auto"/>
              <w:jc w:val="both"/>
              <w:rPr>
                <w:rFonts w:ascii="Gill Sans" w:eastAsia="Gill Sans" w:hAnsi="Gill Sans" w:cs="Gill Sans"/>
                <w:b/>
              </w:rPr>
            </w:pPr>
            <w:r>
              <w:rPr>
                <w:rFonts w:ascii="Gill Sans" w:eastAsia="Gill Sans" w:hAnsi="Gill Sans" w:cs="Gill Sans"/>
                <w:b/>
              </w:rPr>
              <w:t xml:space="preserve">Civil Remedies – Injunctions and interdicts – Interim Interdict </w:t>
            </w:r>
          </w:p>
        </w:tc>
      </w:tr>
      <w:tr w:rsidR="008F6C74" w14:paraId="2A947BFF" w14:textId="77777777">
        <w:tc>
          <w:tcPr>
            <w:tcW w:w="2689" w:type="dxa"/>
          </w:tcPr>
          <w:p w14:paraId="2F5D43D6"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t>Legislation and International Instruments</w:t>
            </w:r>
            <w:r>
              <w:rPr>
                <w:rFonts w:ascii="Gill Sans" w:eastAsia="Gill Sans" w:hAnsi="Gill Sans" w:cs="Gill Sans"/>
                <w:vertAlign w:val="superscript"/>
              </w:rPr>
              <w:footnoteReference w:id="4"/>
            </w:r>
          </w:p>
        </w:tc>
        <w:tc>
          <w:tcPr>
            <w:tcW w:w="6318" w:type="dxa"/>
          </w:tcPr>
          <w:p w14:paraId="28003240" w14:textId="14308BB9" w:rsidR="008F6C74" w:rsidRPr="004019D7" w:rsidRDefault="004019D7" w:rsidP="004019D7">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sidRPr="00C41C2E">
              <w:rPr>
                <w:rFonts w:ascii="Symbol" w:eastAsia="Gill Sans" w:hAnsi="Symbol" w:cs="Gill Sans"/>
                <w:color w:val="000000"/>
              </w:rPr>
              <w:t></w:t>
            </w:r>
            <w:r w:rsidRPr="00C41C2E">
              <w:rPr>
                <w:rFonts w:ascii="Symbol" w:eastAsia="Gill Sans" w:hAnsi="Symbol" w:cs="Gill Sans"/>
                <w:color w:val="000000"/>
              </w:rPr>
              <w:tab/>
            </w:r>
            <w:r w:rsidR="00A22C68" w:rsidRPr="004019D7">
              <w:rPr>
                <w:rFonts w:ascii="Gill Sans" w:eastAsia="Gill Sans" w:hAnsi="Gill Sans" w:cs="Gill Sans"/>
                <w:color w:val="000000"/>
              </w:rPr>
              <w:t>Tribunal Rule 12(3)</w:t>
            </w:r>
          </w:p>
        </w:tc>
      </w:tr>
      <w:tr w:rsidR="008F6C74" w14:paraId="537D36E7" w14:textId="77777777">
        <w:tc>
          <w:tcPr>
            <w:tcW w:w="2689" w:type="dxa"/>
          </w:tcPr>
          <w:p w14:paraId="1D65A8B3"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t>Cases cited as authority</w:t>
            </w:r>
            <w:r>
              <w:rPr>
                <w:rFonts w:ascii="Gill Sans" w:eastAsia="Gill Sans" w:hAnsi="Gill Sans" w:cs="Gill Sans"/>
                <w:vertAlign w:val="superscript"/>
              </w:rPr>
              <w:footnoteReference w:id="5"/>
            </w:r>
          </w:p>
        </w:tc>
        <w:tc>
          <w:tcPr>
            <w:tcW w:w="6318" w:type="dxa"/>
          </w:tcPr>
          <w:p w14:paraId="0097A6FD" w14:textId="33D9B415" w:rsidR="008F6C74" w:rsidRPr="004019D7" w:rsidRDefault="004019D7" w:rsidP="004019D7">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A22C68" w:rsidRPr="004019D7">
              <w:rPr>
                <w:rFonts w:ascii="Gill Sans" w:eastAsia="Gill Sans" w:hAnsi="Gill Sans" w:cs="Gill Sans"/>
                <w:color w:val="000000"/>
              </w:rPr>
              <w:t>Re: Several Matters on the Urgent Court Roll 2013 (1) SA 549 (GSJ)</w:t>
            </w:r>
          </w:p>
          <w:p w14:paraId="62C04B12" w14:textId="30129D83" w:rsidR="00A22C68" w:rsidRPr="004019D7" w:rsidRDefault="004019D7" w:rsidP="004019D7">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r w:rsidR="00A22C68" w:rsidRPr="004019D7">
              <w:rPr>
                <w:rFonts w:ascii="Gill Sans" w:eastAsia="Gill Sans" w:hAnsi="Gill Sans" w:cs="Gill Sans"/>
                <w:color w:val="000000"/>
              </w:rPr>
              <w:t>East Rock Trading 7 (Pty) Ltd v Eagle Valley Granite (Pty) Ltd 2011 JDR 1832 (GSJ)</w:t>
            </w:r>
          </w:p>
          <w:p w14:paraId="5278E5A1" w14:textId="0B6B8A00" w:rsidR="00A22C68" w:rsidRPr="004019D7" w:rsidRDefault="004019D7" w:rsidP="004019D7">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proofErr w:type="spellStart"/>
            <w:r w:rsidR="00186B9D" w:rsidRPr="004019D7">
              <w:rPr>
                <w:rFonts w:ascii="Gill Sans" w:eastAsia="Gill Sans" w:hAnsi="Gill Sans" w:cs="Gill Sans"/>
                <w:color w:val="000000"/>
              </w:rPr>
              <w:t>Motloung</w:t>
            </w:r>
            <w:proofErr w:type="spellEnd"/>
            <w:r w:rsidR="00186B9D" w:rsidRPr="004019D7">
              <w:rPr>
                <w:rFonts w:ascii="Gill Sans" w:eastAsia="Gill Sans" w:hAnsi="Gill Sans" w:cs="Gill Sans"/>
                <w:color w:val="000000"/>
              </w:rPr>
              <w:t xml:space="preserve"> and Another v South African Revenue Services [2023] JOL 59916 (FB)</w:t>
            </w:r>
          </w:p>
          <w:p w14:paraId="12C66421" w14:textId="48CF6900" w:rsidR="00186B9D" w:rsidRPr="004019D7" w:rsidRDefault="004019D7" w:rsidP="004019D7">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Pr>
                <w:rFonts w:ascii="Symbol" w:eastAsia="Gill Sans" w:hAnsi="Symbol" w:cs="Gill Sans"/>
                <w:color w:val="000000"/>
              </w:rPr>
              <w:t></w:t>
            </w:r>
            <w:r>
              <w:rPr>
                <w:rFonts w:ascii="Symbol" w:eastAsia="Gill Sans" w:hAnsi="Symbol" w:cs="Gill Sans"/>
                <w:color w:val="000000"/>
              </w:rPr>
              <w:tab/>
            </w:r>
            <w:proofErr w:type="spellStart"/>
            <w:r w:rsidR="00186B9D" w:rsidRPr="004019D7">
              <w:rPr>
                <w:rFonts w:ascii="Gill Sans" w:eastAsia="Gill Sans" w:hAnsi="Gill Sans" w:cs="Gill Sans"/>
                <w:color w:val="000000"/>
              </w:rPr>
              <w:t>Setlogelo</w:t>
            </w:r>
            <w:proofErr w:type="spellEnd"/>
            <w:r w:rsidR="00186B9D" w:rsidRPr="004019D7">
              <w:rPr>
                <w:rFonts w:ascii="Gill Sans" w:eastAsia="Gill Sans" w:hAnsi="Gill Sans" w:cs="Gill Sans"/>
                <w:color w:val="000000"/>
              </w:rPr>
              <w:t xml:space="preserve"> v </w:t>
            </w:r>
            <w:proofErr w:type="spellStart"/>
            <w:r w:rsidR="00186B9D" w:rsidRPr="004019D7">
              <w:rPr>
                <w:rFonts w:ascii="Gill Sans" w:eastAsia="Gill Sans" w:hAnsi="Gill Sans" w:cs="Gill Sans"/>
                <w:color w:val="000000"/>
              </w:rPr>
              <w:t>Setlogelo</w:t>
            </w:r>
            <w:proofErr w:type="spellEnd"/>
            <w:r w:rsidR="00186B9D" w:rsidRPr="004019D7">
              <w:rPr>
                <w:rFonts w:ascii="Gill Sans" w:eastAsia="Gill Sans" w:hAnsi="Gill Sans" w:cs="Gill Sans"/>
                <w:color w:val="000000"/>
              </w:rPr>
              <w:t xml:space="preserve"> 1914 AD 221 at 227; National Treasury and Others </w:t>
            </w:r>
            <w:proofErr w:type="gramStart"/>
            <w:r w:rsidR="00186B9D" w:rsidRPr="004019D7">
              <w:rPr>
                <w:rFonts w:ascii="Gill Sans" w:eastAsia="Gill Sans" w:hAnsi="Gill Sans" w:cs="Gill Sans"/>
                <w:color w:val="000000"/>
              </w:rPr>
              <w:t>v</w:t>
            </w:r>
            <w:proofErr w:type="gramEnd"/>
            <w:r w:rsidR="00186B9D" w:rsidRPr="004019D7">
              <w:rPr>
                <w:rFonts w:ascii="Gill Sans" w:eastAsia="Gill Sans" w:hAnsi="Gill Sans" w:cs="Gill Sans"/>
                <w:color w:val="000000"/>
              </w:rPr>
              <w:t xml:space="preserve"> Opposition to Urban Tolling Alliance and Others (CCT 38/12) [2012] ZACC</w:t>
            </w:r>
          </w:p>
          <w:p w14:paraId="6005A44E" w14:textId="57646586" w:rsidR="00186B9D" w:rsidRPr="004019D7" w:rsidRDefault="004019D7" w:rsidP="004019D7">
            <w:pPr>
              <w:pBdr>
                <w:top w:val="nil"/>
                <w:left w:val="nil"/>
                <w:bottom w:val="nil"/>
                <w:right w:val="nil"/>
                <w:between w:val="nil"/>
              </w:pBdr>
              <w:spacing w:after="0" w:line="276" w:lineRule="auto"/>
              <w:ind w:left="720" w:hanging="360"/>
              <w:jc w:val="both"/>
              <w:rPr>
                <w:rFonts w:ascii="Gill Sans" w:eastAsia="Gill Sans" w:hAnsi="Gill Sans" w:cs="Gill Sans"/>
                <w:color w:val="000000"/>
              </w:rPr>
            </w:pPr>
            <w:r w:rsidRPr="00E424A6">
              <w:rPr>
                <w:rFonts w:ascii="Symbol" w:eastAsia="Gill Sans" w:hAnsi="Symbol" w:cs="Gill Sans"/>
                <w:color w:val="000000"/>
              </w:rPr>
              <w:t></w:t>
            </w:r>
            <w:r w:rsidRPr="00E424A6">
              <w:rPr>
                <w:rFonts w:ascii="Symbol" w:eastAsia="Gill Sans" w:hAnsi="Symbol" w:cs="Gill Sans"/>
                <w:color w:val="000000"/>
              </w:rPr>
              <w:tab/>
            </w:r>
            <w:r w:rsidR="00186B9D" w:rsidRPr="004019D7">
              <w:rPr>
                <w:rFonts w:ascii="Gill Sans" w:eastAsia="Gill Sans" w:hAnsi="Gill Sans" w:cs="Gill Sans"/>
                <w:color w:val="000000"/>
              </w:rPr>
              <w:t>Webster v Mitchell 1948 (1) SA 1186 (W)</w:t>
            </w:r>
          </w:p>
        </w:tc>
      </w:tr>
      <w:tr w:rsidR="008F6C74" w14:paraId="4013AC34" w14:textId="77777777">
        <w:tc>
          <w:tcPr>
            <w:tcW w:w="2689" w:type="dxa"/>
          </w:tcPr>
          <w:p w14:paraId="05B00B59" w14:textId="77777777" w:rsidR="008F6C74" w:rsidRDefault="00E725B4">
            <w:pPr>
              <w:tabs>
                <w:tab w:val="right" w:pos="2473"/>
              </w:tabs>
              <w:spacing w:after="0" w:line="276" w:lineRule="auto"/>
              <w:jc w:val="both"/>
              <w:rPr>
                <w:rFonts w:ascii="Gill Sans" w:eastAsia="Gill Sans" w:hAnsi="Gill Sans" w:cs="Gill Sans"/>
              </w:rPr>
            </w:pPr>
            <w:r>
              <w:rPr>
                <w:rFonts w:ascii="Gill Sans" w:eastAsia="Gill Sans" w:hAnsi="Gill Sans" w:cs="Gill Sans"/>
              </w:rPr>
              <w:t>Facts</w:t>
            </w:r>
            <w:r>
              <w:rPr>
                <w:rFonts w:ascii="Gill Sans" w:eastAsia="Gill Sans" w:hAnsi="Gill Sans" w:cs="Gill Sans"/>
                <w:vertAlign w:val="superscript"/>
              </w:rPr>
              <w:footnoteReference w:id="6"/>
            </w:r>
            <w:r>
              <w:rPr>
                <w:rFonts w:ascii="Gill Sans" w:eastAsia="Gill Sans" w:hAnsi="Gill Sans" w:cs="Gill Sans"/>
              </w:rPr>
              <w:tab/>
            </w:r>
          </w:p>
          <w:p w14:paraId="4DAFF720" w14:textId="77777777" w:rsidR="008F6C74" w:rsidRDefault="008F6C74">
            <w:pPr>
              <w:tabs>
                <w:tab w:val="right" w:pos="2473"/>
              </w:tabs>
              <w:spacing w:after="0" w:line="276" w:lineRule="auto"/>
              <w:jc w:val="both"/>
              <w:rPr>
                <w:rFonts w:ascii="Gill Sans" w:eastAsia="Gill Sans" w:hAnsi="Gill Sans" w:cs="Gill Sans"/>
              </w:rPr>
            </w:pPr>
          </w:p>
        </w:tc>
        <w:tc>
          <w:tcPr>
            <w:tcW w:w="6318" w:type="dxa"/>
          </w:tcPr>
          <w:p w14:paraId="72A85D64" w14:textId="63597EAC" w:rsidR="00ED6F46" w:rsidRDefault="00C41C2E">
            <w:pPr>
              <w:spacing w:after="0" w:line="276" w:lineRule="auto"/>
              <w:jc w:val="both"/>
              <w:rPr>
                <w:rFonts w:ascii="Gill Sans" w:eastAsia="Gill Sans" w:hAnsi="Gill Sans" w:cs="Gill Sans"/>
              </w:rPr>
            </w:pPr>
            <w:r>
              <w:rPr>
                <w:rFonts w:ascii="Gill Sans" w:eastAsia="Gill Sans" w:hAnsi="Gill Sans" w:cs="Gill Sans"/>
              </w:rPr>
              <w:t>The Special Investigating Unit, the applicant (</w:t>
            </w:r>
            <w:r w:rsidRPr="00C41C2E">
              <w:rPr>
                <w:rFonts w:ascii="Gill Sans" w:eastAsia="Gill Sans" w:hAnsi="Gill Sans" w:cs="Gill Sans"/>
                <w:b/>
                <w:bCs/>
              </w:rPr>
              <w:t>SIU</w:t>
            </w:r>
            <w:r>
              <w:rPr>
                <w:rFonts w:ascii="Gill Sans" w:eastAsia="Gill Sans" w:hAnsi="Gill Sans" w:cs="Gill Sans"/>
              </w:rPr>
              <w:t xml:space="preserve">), applied for an urgent </w:t>
            </w:r>
            <w:r w:rsidR="00ED6F46">
              <w:rPr>
                <w:rFonts w:ascii="Gill Sans" w:eastAsia="Gill Sans" w:hAnsi="Gill Sans" w:cs="Gill Sans"/>
              </w:rPr>
              <w:t>interim interdict to interdict</w:t>
            </w:r>
            <w:r>
              <w:rPr>
                <w:rFonts w:ascii="Gill Sans" w:eastAsia="Gill Sans" w:hAnsi="Gill Sans" w:cs="Gill Sans"/>
              </w:rPr>
              <w:t xml:space="preserve"> Netshidaulu, the first respondent (</w:t>
            </w:r>
            <w:r w:rsidRPr="00C41C2E">
              <w:rPr>
                <w:rFonts w:ascii="Gill Sans" w:eastAsia="Gill Sans" w:hAnsi="Gill Sans" w:cs="Gill Sans"/>
                <w:b/>
                <w:bCs/>
              </w:rPr>
              <w:t>Netshidaulu</w:t>
            </w:r>
            <w:r>
              <w:rPr>
                <w:rFonts w:ascii="Gill Sans" w:eastAsia="Gill Sans" w:hAnsi="Gill Sans" w:cs="Gill Sans"/>
              </w:rPr>
              <w:t xml:space="preserve">), and Alexandra Forbes Retirement Fund, the second respondent, from accessing and paying </w:t>
            </w:r>
            <w:proofErr w:type="spellStart"/>
            <w:r>
              <w:rPr>
                <w:rFonts w:ascii="Gill Sans" w:eastAsia="Gill Sans" w:hAnsi="Gill Sans" w:cs="Gill Sans"/>
              </w:rPr>
              <w:t>Netshidaulu’s</w:t>
            </w:r>
            <w:proofErr w:type="spellEnd"/>
            <w:r>
              <w:rPr>
                <w:rFonts w:ascii="Gill Sans" w:eastAsia="Gill Sans" w:hAnsi="Gill Sans" w:cs="Gill Sans"/>
              </w:rPr>
              <w:t xml:space="preserve"> pension benefits, pending the outcome of an action the SIU intended on instituting against Netshidaulu. </w:t>
            </w:r>
            <w:r w:rsidR="00ED6F46">
              <w:rPr>
                <w:rFonts w:ascii="Gill Sans" w:eastAsia="Gill Sans" w:hAnsi="Gill Sans" w:cs="Gill Sans"/>
              </w:rPr>
              <w:t>The SIU</w:t>
            </w:r>
            <w:r w:rsidR="00A22C68">
              <w:rPr>
                <w:rFonts w:ascii="Gill Sans" w:eastAsia="Gill Sans" w:hAnsi="Gill Sans" w:cs="Gill Sans"/>
              </w:rPr>
              <w:t xml:space="preserve">’s alleged cause of action against Netshidaulu related to his </w:t>
            </w:r>
            <w:r w:rsidR="00186B9D">
              <w:rPr>
                <w:rFonts w:ascii="Gill Sans" w:eastAsia="Gill Sans" w:hAnsi="Gill Sans" w:cs="Gill Sans"/>
              </w:rPr>
              <w:t>involvement in alleged irregular procurement processes</w:t>
            </w:r>
            <w:r w:rsidR="00D04995">
              <w:rPr>
                <w:rFonts w:ascii="Gill Sans" w:eastAsia="Gill Sans" w:hAnsi="Gill Sans" w:cs="Gill Sans"/>
              </w:rPr>
              <w:t xml:space="preserve"> for a dam project. </w:t>
            </w:r>
          </w:p>
        </w:tc>
      </w:tr>
      <w:tr w:rsidR="008F6C74" w14:paraId="5CE24036" w14:textId="77777777">
        <w:tc>
          <w:tcPr>
            <w:tcW w:w="2689" w:type="dxa"/>
          </w:tcPr>
          <w:p w14:paraId="4DC22FDD"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t>Summary</w:t>
            </w:r>
            <w:r>
              <w:rPr>
                <w:rFonts w:ascii="Gill Sans" w:eastAsia="Gill Sans" w:hAnsi="Gill Sans" w:cs="Gill Sans"/>
                <w:vertAlign w:val="superscript"/>
              </w:rPr>
              <w:footnoteReference w:id="7"/>
            </w:r>
          </w:p>
        </w:tc>
        <w:tc>
          <w:tcPr>
            <w:tcW w:w="6318" w:type="dxa"/>
          </w:tcPr>
          <w:p w14:paraId="4B7EDC9D" w14:textId="6018D347" w:rsidR="008F6C74" w:rsidRDefault="00CC11FF">
            <w:pPr>
              <w:spacing w:after="0" w:line="276" w:lineRule="auto"/>
              <w:jc w:val="both"/>
              <w:rPr>
                <w:rFonts w:ascii="Gill Sans" w:eastAsia="Gill Sans" w:hAnsi="Gill Sans" w:cs="Gill Sans"/>
              </w:rPr>
            </w:pPr>
            <w:bookmarkStart w:id="1" w:name="_heading=h.gjdgxs" w:colFirst="0" w:colLast="0"/>
            <w:bookmarkEnd w:id="1"/>
            <w:r>
              <w:rPr>
                <w:rFonts w:ascii="Gill Sans" w:eastAsia="Gill Sans" w:hAnsi="Gill Sans" w:cs="Gill Sans"/>
              </w:rPr>
              <w:t>The Special Tribunal (</w:t>
            </w:r>
            <w:r w:rsidRPr="00CC11FF">
              <w:rPr>
                <w:rFonts w:ascii="Gill Sans" w:eastAsia="Gill Sans" w:hAnsi="Gill Sans" w:cs="Gill Sans"/>
                <w:b/>
                <w:bCs/>
              </w:rPr>
              <w:t>Tribunal</w:t>
            </w:r>
            <w:r>
              <w:rPr>
                <w:rFonts w:ascii="Gill Sans" w:eastAsia="Gill Sans" w:hAnsi="Gill Sans" w:cs="Gill Sans"/>
              </w:rPr>
              <w:t>) was required to determine whether an urgent interdict ought to be granted</w:t>
            </w:r>
            <w:r w:rsidR="00D04995">
              <w:rPr>
                <w:rFonts w:ascii="Gill Sans" w:eastAsia="Gill Sans" w:hAnsi="Gill Sans" w:cs="Gill Sans"/>
              </w:rPr>
              <w:t xml:space="preserve">, and whether the requirements for such interdict had been met. </w:t>
            </w:r>
            <w:bookmarkStart w:id="2" w:name="_heading=h.jnwmbrohwg7k" w:colFirst="0" w:colLast="0"/>
            <w:bookmarkEnd w:id="2"/>
            <w:r w:rsidR="00D04995">
              <w:rPr>
                <w:rFonts w:ascii="Gill Sans" w:eastAsia="Gill Sans" w:hAnsi="Gill Sans" w:cs="Gill Sans"/>
              </w:rPr>
              <w:t xml:space="preserve">Netshidaulu also raised the following preliminary points, namely double jeopardy, </w:t>
            </w:r>
            <w:r w:rsidR="00E26BF6">
              <w:rPr>
                <w:rFonts w:ascii="Gill Sans" w:eastAsia="Gill Sans" w:hAnsi="Gill Sans" w:cs="Gill Sans"/>
              </w:rPr>
              <w:t xml:space="preserve">and </w:t>
            </w:r>
            <w:r w:rsidR="00E26BF6">
              <w:rPr>
                <w:rFonts w:ascii="Gill Sans" w:eastAsia="Gill Sans" w:hAnsi="Gill Sans" w:cs="Gill Sans"/>
              </w:rPr>
              <w:lastRenderedPageBreak/>
              <w:t xml:space="preserve">the </w:t>
            </w:r>
            <w:r w:rsidR="00D04995">
              <w:rPr>
                <w:rFonts w:ascii="Gill Sans" w:eastAsia="Gill Sans" w:hAnsi="Gill Sans" w:cs="Gill Sans"/>
              </w:rPr>
              <w:t xml:space="preserve">failure to </w:t>
            </w:r>
            <w:r w:rsidR="00E424A6">
              <w:rPr>
                <w:rFonts w:ascii="Gill Sans" w:eastAsia="Gill Sans" w:hAnsi="Gill Sans" w:cs="Gill Sans"/>
              </w:rPr>
              <w:t xml:space="preserve">first </w:t>
            </w:r>
            <w:r w:rsidR="00D04995">
              <w:rPr>
                <w:rFonts w:ascii="Gill Sans" w:eastAsia="Gill Sans" w:hAnsi="Gill Sans" w:cs="Gill Sans"/>
              </w:rPr>
              <w:t>review the decision appointing the consultants in the dam project</w:t>
            </w:r>
            <w:r w:rsidR="00E26BF6">
              <w:rPr>
                <w:rFonts w:ascii="Gill Sans" w:eastAsia="Gill Sans" w:hAnsi="Gill Sans" w:cs="Gill Sans"/>
              </w:rPr>
              <w:t xml:space="preserve">. </w:t>
            </w:r>
          </w:p>
        </w:tc>
      </w:tr>
      <w:tr w:rsidR="008F6C74" w14:paraId="21E6C9B6" w14:textId="77777777">
        <w:tc>
          <w:tcPr>
            <w:tcW w:w="2689" w:type="dxa"/>
          </w:tcPr>
          <w:p w14:paraId="6EC634E6"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lastRenderedPageBreak/>
              <w:t>Decision/ Judgment</w:t>
            </w:r>
            <w:r>
              <w:rPr>
                <w:rFonts w:ascii="Gill Sans" w:eastAsia="Gill Sans" w:hAnsi="Gill Sans" w:cs="Gill Sans"/>
                <w:vertAlign w:val="superscript"/>
              </w:rPr>
              <w:footnoteReference w:id="8"/>
            </w:r>
          </w:p>
        </w:tc>
        <w:tc>
          <w:tcPr>
            <w:tcW w:w="6318" w:type="dxa"/>
          </w:tcPr>
          <w:p w14:paraId="44E8613A" w14:textId="392E0491" w:rsidR="008F6C74" w:rsidRDefault="00CC11FF">
            <w:pPr>
              <w:spacing w:after="0"/>
              <w:jc w:val="both"/>
              <w:rPr>
                <w:rFonts w:ascii="Gill Sans" w:eastAsia="Gill Sans" w:hAnsi="Gill Sans" w:cs="Gill Sans"/>
              </w:rPr>
            </w:pPr>
            <w:r>
              <w:rPr>
                <w:rFonts w:ascii="Gill Sans" w:eastAsia="Gill Sans" w:hAnsi="Gill Sans" w:cs="Gill Sans"/>
              </w:rPr>
              <w:t xml:space="preserve">The application was dismissed with costs on the attorney and client scale. </w:t>
            </w:r>
          </w:p>
        </w:tc>
      </w:tr>
      <w:tr w:rsidR="008F6C74" w14:paraId="4C0FB004" w14:textId="77777777">
        <w:tc>
          <w:tcPr>
            <w:tcW w:w="2689" w:type="dxa"/>
          </w:tcPr>
          <w:p w14:paraId="2DD50437"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t>Basis of the decision</w:t>
            </w:r>
            <w:r>
              <w:rPr>
                <w:rFonts w:ascii="Gill Sans" w:eastAsia="Gill Sans" w:hAnsi="Gill Sans" w:cs="Gill Sans"/>
                <w:vertAlign w:val="superscript"/>
              </w:rPr>
              <w:footnoteReference w:id="9"/>
            </w:r>
          </w:p>
        </w:tc>
        <w:tc>
          <w:tcPr>
            <w:tcW w:w="6318" w:type="dxa"/>
          </w:tcPr>
          <w:p w14:paraId="600F7531" w14:textId="22716988" w:rsidR="008F6C74" w:rsidRDefault="00E26BF6">
            <w:pPr>
              <w:spacing w:after="0" w:line="276" w:lineRule="auto"/>
              <w:jc w:val="both"/>
              <w:rPr>
                <w:rFonts w:ascii="Gill Sans" w:eastAsia="Gill Sans" w:hAnsi="Gill Sans" w:cs="Gill Sans"/>
              </w:rPr>
            </w:pPr>
            <w:r>
              <w:rPr>
                <w:rFonts w:ascii="Gill Sans" w:eastAsia="Gill Sans" w:hAnsi="Gill Sans" w:cs="Gill Sans"/>
              </w:rPr>
              <w:t xml:space="preserve">The Tribunal found that the SIU had failed to provide full and sufficient explanation for the circumstances that would render the application urgent, and that the urgency relied upon was self-created. SIU also failed to establish that it would not be afforded substantial redress in due course. The Tribunal dismissed the preliminary points raised by Netshidaulu, as the double jeopardy ground was only available for persons charged with a criminal offence, and nothing prevented the SIU from instituting action against Netshidaulu relating to the consultant’s irregular appointment. The Tribunal also found that the requirements for an interdict had not been met, as a </w:t>
            </w:r>
            <w:r w:rsidRPr="00E26BF6">
              <w:rPr>
                <w:rFonts w:ascii="Gill Sans" w:eastAsia="Gill Sans" w:hAnsi="Gill Sans" w:cs="Gill Sans"/>
                <w:i/>
                <w:iCs/>
              </w:rPr>
              <w:t>prima facie</w:t>
            </w:r>
            <w:r>
              <w:rPr>
                <w:rFonts w:ascii="Gill Sans" w:eastAsia="Gill Sans" w:hAnsi="Gill Sans" w:cs="Gill Sans"/>
              </w:rPr>
              <w:t xml:space="preserve"> right had not been established, no reasonable apprehension of harm was established, the balance of convenience did not favour the SIU</w:t>
            </w:r>
            <w:r w:rsidR="00D364EC">
              <w:rPr>
                <w:rFonts w:ascii="Gill Sans" w:eastAsia="Gill Sans" w:hAnsi="Gill Sans" w:cs="Gill Sans"/>
              </w:rPr>
              <w:t xml:space="preserve">, and the question of alternative remedy did not arise. </w:t>
            </w:r>
          </w:p>
        </w:tc>
      </w:tr>
      <w:tr w:rsidR="008F6C74" w14:paraId="2887B0AD" w14:textId="77777777">
        <w:tc>
          <w:tcPr>
            <w:tcW w:w="2689" w:type="dxa"/>
          </w:tcPr>
          <w:p w14:paraId="10E073C8"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t>Reported by</w:t>
            </w:r>
          </w:p>
          <w:p w14:paraId="0DC66978" w14:textId="77777777" w:rsidR="008F6C74" w:rsidRDefault="00E725B4">
            <w:pPr>
              <w:spacing w:after="0" w:line="276" w:lineRule="auto"/>
              <w:jc w:val="both"/>
              <w:rPr>
                <w:rFonts w:ascii="Gill Sans" w:eastAsia="Gill Sans" w:hAnsi="Gill Sans" w:cs="Gill Sans"/>
              </w:rPr>
            </w:pPr>
            <w:r>
              <w:rPr>
                <w:rFonts w:ascii="Gill Sans" w:eastAsia="Gill Sans" w:hAnsi="Gill Sans" w:cs="Gill Sans"/>
              </w:rPr>
              <w:t>Date</w:t>
            </w:r>
          </w:p>
        </w:tc>
        <w:tc>
          <w:tcPr>
            <w:tcW w:w="6318" w:type="dxa"/>
          </w:tcPr>
          <w:p w14:paraId="6D2FF847" w14:textId="77777777" w:rsidR="008F6C74" w:rsidRDefault="00725D96">
            <w:pPr>
              <w:spacing w:after="0" w:line="276" w:lineRule="auto"/>
              <w:jc w:val="both"/>
              <w:rPr>
                <w:rFonts w:ascii="Gill Sans" w:eastAsia="Gill Sans" w:hAnsi="Gill Sans" w:cs="Gill Sans"/>
              </w:rPr>
            </w:pPr>
            <w:r>
              <w:rPr>
                <w:rFonts w:ascii="Gill Sans" w:eastAsia="Gill Sans" w:hAnsi="Gill Sans" w:cs="Gill Sans"/>
              </w:rPr>
              <w:t>African Legal Information Institute (</w:t>
            </w:r>
            <w:proofErr w:type="spellStart"/>
            <w:r>
              <w:fldChar w:fldCharType="begin"/>
            </w:r>
            <w:r>
              <w:instrText xml:space="preserve"> HYPERLINK "https://africanlii.org/" \h </w:instrText>
            </w:r>
            <w:r>
              <w:fldChar w:fldCharType="separate"/>
            </w:r>
            <w:r>
              <w:rPr>
                <w:rFonts w:ascii="Gill Sans" w:eastAsia="Gill Sans" w:hAnsi="Gill Sans" w:cs="Gill Sans"/>
                <w:color w:val="1155CC"/>
                <w:u w:val="single"/>
              </w:rPr>
              <w:t>AfricanLII</w:t>
            </w:r>
            <w:proofErr w:type="spellEnd"/>
            <w:r>
              <w:rPr>
                <w:rFonts w:ascii="Gill Sans" w:eastAsia="Gill Sans" w:hAnsi="Gill Sans" w:cs="Gill Sans"/>
                <w:color w:val="1155CC"/>
                <w:u w:val="single"/>
              </w:rPr>
              <w:fldChar w:fldCharType="end"/>
            </w:r>
            <w:r>
              <w:rPr>
                <w:rFonts w:ascii="Gill Sans" w:eastAsia="Gill Sans" w:hAnsi="Gill Sans" w:cs="Gill Sans"/>
              </w:rPr>
              <w:t>)</w:t>
            </w:r>
          </w:p>
          <w:p w14:paraId="0FC8E1B6" w14:textId="02B4F3C8" w:rsidR="00F95EA3" w:rsidRDefault="00F95EA3">
            <w:pPr>
              <w:spacing w:after="0" w:line="276" w:lineRule="auto"/>
              <w:jc w:val="both"/>
              <w:rPr>
                <w:rFonts w:ascii="Gill Sans" w:eastAsia="Gill Sans" w:hAnsi="Gill Sans" w:cs="Gill Sans"/>
              </w:rPr>
            </w:pPr>
            <w:r>
              <w:rPr>
                <w:rFonts w:ascii="Gill Sans" w:eastAsia="Gill Sans" w:hAnsi="Gill Sans" w:cs="Gill Sans"/>
              </w:rPr>
              <w:t>16 May 2024</w:t>
            </w:r>
          </w:p>
        </w:tc>
      </w:tr>
    </w:tbl>
    <w:p w14:paraId="7891A11B" w14:textId="77777777" w:rsidR="008F6C74" w:rsidRDefault="008F6C74">
      <w:pPr>
        <w:spacing w:after="0" w:line="276" w:lineRule="auto"/>
        <w:jc w:val="both"/>
        <w:rPr>
          <w:rFonts w:ascii="Gill Sans" w:eastAsia="Gill Sans" w:hAnsi="Gill Sans" w:cs="Gill Sans"/>
        </w:rPr>
      </w:pPr>
    </w:p>
    <w:p w14:paraId="05DE74DC" w14:textId="77777777" w:rsidR="008F6C74" w:rsidRDefault="008F6C74">
      <w:pPr>
        <w:rPr>
          <w:rFonts w:ascii="Gill Sans" w:eastAsia="Gill Sans" w:hAnsi="Gill Sans" w:cs="Gill Sans"/>
        </w:rPr>
      </w:pPr>
    </w:p>
    <w:p w14:paraId="4235CCB3" w14:textId="77777777" w:rsidR="008F6C74" w:rsidRDefault="008F6C74"/>
    <w:p w14:paraId="24FAD262" w14:textId="77777777" w:rsidR="008F6C74" w:rsidRDefault="008F6C74"/>
    <w:p w14:paraId="4565CDE5" w14:textId="77777777" w:rsidR="008F6C74" w:rsidRDefault="008F6C74"/>
    <w:sectPr w:rsidR="008F6C7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79ED" w14:textId="77777777" w:rsidR="00E725B4" w:rsidRDefault="00E725B4">
      <w:pPr>
        <w:spacing w:after="0" w:line="240" w:lineRule="auto"/>
      </w:pPr>
      <w:r>
        <w:separator/>
      </w:r>
    </w:p>
  </w:endnote>
  <w:endnote w:type="continuationSeparator" w:id="0">
    <w:p w14:paraId="07C3E9FF" w14:textId="77777777" w:rsidR="00E725B4" w:rsidRDefault="00E7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7DD64" w14:textId="77777777" w:rsidR="00E725B4" w:rsidRDefault="00E725B4">
      <w:pPr>
        <w:spacing w:after="0" w:line="240" w:lineRule="auto"/>
      </w:pPr>
      <w:r>
        <w:separator/>
      </w:r>
    </w:p>
  </w:footnote>
  <w:footnote w:type="continuationSeparator" w:id="0">
    <w:p w14:paraId="5CE5BE37" w14:textId="77777777" w:rsidR="00E725B4" w:rsidRDefault="00E725B4">
      <w:pPr>
        <w:spacing w:after="0" w:line="240" w:lineRule="auto"/>
      </w:pPr>
      <w:r>
        <w:continuationSeparator/>
      </w:r>
    </w:p>
  </w:footnote>
  <w:footnote w:id="1">
    <w:p w14:paraId="436B39BA" w14:textId="77777777" w:rsidR="008F6C74" w:rsidRDefault="00E725B4">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Clarify the type of issues that come up in the case.</w:t>
      </w:r>
    </w:p>
  </w:footnote>
  <w:footnote w:id="2">
    <w:p w14:paraId="039279F4" w14:textId="77777777" w:rsidR="008F6C74" w:rsidRDefault="00E725B4">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Whether Trial, Application or Appeal.</w:t>
      </w:r>
    </w:p>
  </w:footnote>
  <w:footnote w:id="3">
    <w:p w14:paraId="255D2FE7" w14:textId="77777777" w:rsidR="008F6C74" w:rsidRDefault="00E725B4">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w:t>
      </w:r>
      <w:r>
        <w:rPr>
          <w:rFonts w:ascii="Gill Sans" w:eastAsia="Gill Sans" w:hAnsi="Gill Sans" w:cs="Gill Sans"/>
          <w:b/>
          <w:sz w:val="20"/>
          <w:szCs w:val="20"/>
        </w:rPr>
        <w:t>Area of law</w:t>
      </w:r>
      <w:r>
        <w:rPr>
          <w:rFonts w:ascii="Gill Sans" w:eastAsia="Gill Sans" w:hAnsi="Gill Sans" w:cs="Gill Sans"/>
          <w:sz w:val="20"/>
          <w:szCs w:val="20"/>
        </w:rPr>
        <w:t xml:space="preserve"> - topic – subtopic. </w:t>
      </w:r>
    </w:p>
  </w:footnote>
  <w:footnote w:id="4">
    <w:p w14:paraId="0303757B" w14:textId="77777777" w:rsidR="008F6C74" w:rsidRDefault="00E725B4">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Legislation/ International instrument title and se</w:t>
      </w:r>
      <w:r>
        <w:rPr>
          <w:rFonts w:ascii="Gill Sans" w:eastAsia="Gill Sans" w:hAnsi="Gill Sans" w:cs="Gill Sans"/>
          <w:color w:val="000000"/>
          <w:sz w:val="20"/>
          <w:szCs w:val="20"/>
        </w:rPr>
        <w:t>ction numbers.</w:t>
      </w:r>
    </w:p>
  </w:footnote>
  <w:footnote w:id="5">
    <w:p w14:paraId="36BEAAE1" w14:textId="77777777" w:rsidR="008F6C74" w:rsidRDefault="00E725B4">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List of cases considered to be </w:t>
      </w:r>
      <w:r>
        <w:rPr>
          <w:rFonts w:ascii="Gill Sans" w:eastAsia="Gill Sans" w:hAnsi="Gill Sans" w:cs="Gill Sans"/>
          <w:color w:val="000000"/>
          <w:sz w:val="20"/>
          <w:szCs w:val="20"/>
          <w:u w:val="single"/>
        </w:rPr>
        <w:t>important precedent</w:t>
      </w:r>
      <w:r>
        <w:rPr>
          <w:rFonts w:ascii="Gill Sans" w:eastAsia="Gill Sans" w:hAnsi="Gill Sans" w:cs="Gill Sans"/>
          <w:color w:val="000000"/>
          <w:sz w:val="20"/>
          <w:szCs w:val="20"/>
        </w:rPr>
        <w:t xml:space="preserve"> (case name and citation).</w:t>
      </w:r>
    </w:p>
  </w:footnote>
  <w:footnote w:id="6">
    <w:p w14:paraId="4BAE403F" w14:textId="77777777" w:rsidR="008F6C74" w:rsidRDefault="00E725B4">
      <w:pPr>
        <w:spacing w:after="0"/>
        <w:jc w:val="both"/>
        <w:rPr>
          <w:rFonts w:ascii="Gill Sans" w:eastAsia="Gill Sans" w:hAnsi="Gill Sans" w:cs="Gill Sans"/>
          <w:i/>
          <w:color w:val="000000"/>
          <w:sz w:val="20"/>
          <w:szCs w:val="20"/>
        </w:rPr>
      </w:pPr>
      <w:r>
        <w:rPr>
          <w:rStyle w:val="FootnoteReference"/>
        </w:rPr>
        <w:footnoteRef/>
      </w:r>
      <w:r>
        <w:rPr>
          <w:rFonts w:ascii="Gill Sans" w:eastAsia="Gill Sans" w:hAnsi="Gill Sans" w:cs="Gill Sans"/>
          <w:sz w:val="20"/>
          <w:szCs w:val="20"/>
        </w:rPr>
        <w:t xml:space="preserve"> Brief facts about the case (max 150 words).</w:t>
      </w:r>
    </w:p>
  </w:footnote>
  <w:footnote w:id="7">
    <w:p w14:paraId="76E39ECE" w14:textId="77777777" w:rsidR="008F6C74" w:rsidRDefault="00E725B4">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Summary of the determination of legal questions and/or grounds of appeal (between 150-250 words).</w:t>
      </w:r>
    </w:p>
  </w:footnote>
  <w:footnote w:id="8">
    <w:p w14:paraId="15503096" w14:textId="77777777" w:rsidR="008F6C74" w:rsidRDefault="00E725B4">
      <w:pPr>
        <w:spacing w:after="0"/>
        <w:jc w:val="both"/>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A brief summary of the ruling/judgment of the court (max 100 words).</w:t>
      </w:r>
    </w:p>
  </w:footnote>
  <w:footnote w:id="9">
    <w:p w14:paraId="4064A5C3" w14:textId="77777777" w:rsidR="008F6C74" w:rsidRDefault="00E725B4">
      <w:pPr>
        <w:pBdr>
          <w:top w:val="nil"/>
          <w:left w:val="nil"/>
          <w:bottom w:val="nil"/>
          <w:right w:val="nil"/>
          <w:between w:val="nil"/>
        </w:pBdr>
        <w:spacing w:after="0" w:line="240" w:lineRule="auto"/>
        <w:jc w:val="both"/>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A 1-2 sentence summary of the basis of the decision (i.e. which legal rules were relied 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80067"/>
    <w:multiLevelType w:val="hybridMultilevel"/>
    <w:tmpl w:val="CFB04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74"/>
    <w:rsid w:val="000F3EB6"/>
    <w:rsid w:val="00186B9D"/>
    <w:rsid w:val="00256756"/>
    <w:rsid w:val="003A5367"/>
    <w:rsid w:val="004019D7"/>
    <w:rsid w:val="00725D96"/>
    <w:rsid w:val="00873098"/>
    <w:rsid w:val="008F6C74"/>
    <w:rsid w:val="00A22C68"/>
    <w:rsid w:val="00C41C2E"/>
    <w:rsid w:val="00CC11FF"/>
    <w:rsid w:val="00D04995"/>
    <w:rsid w:val="00D364EC"/>
    <w:rsid w:val="00E26BF6"/>
    <w:rsid w:val="00E424A6"/>
    <w:rsid w:val="00E725B4"/>
    <w:rsid w:val="00ED6F46"/>
    <w:rsid w:val="00F95E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A69B"/>
  <w15:docId w15:val="{88D39B9C-C913-4EB8-82B9-46EB1AFE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C2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A8F"/>
    <w:rPr>
      <w:sz w:val="20"/>
      <w:szCs w:val="20"/>
    </w:rPr>
  </w:style>
  <w:style w:type="character" w:styleId="FootnoteReference">
    <w:name w:val="footnote reference"/>
    <w:basedOn w:val="DefaultParagraphFont"/>
    <w:uiPriority w:val="99"/>
    <w:semiHidden/>
    <w:unhideWhenUsed/>
    <w:rsid w:val="00BC2A8F"/>
    <w:rPr>
      <w:vertAlign w:val="superscript"/>
    </w:rPr>
  </w:style>
  <w:style w:type="character" w:styleId="Hyperlink">
    <w:name w:val="Hyperlink"/>
    <w:basedOn w:val="DefaultParagraphFont"/>
    <w:uiPriority w:val="99"/>
    <w:unhideWhenUsed/>
    <w:rsid w:val="0086477B"/>
    <w:rPr>
      <w:color w:val="0563C1" w:themeColor="hyperlink"/>
      <w:u w:val="single"/>
    </w:rPr>
  </w:style>
  <w:style w:type="character" w:styleId="Strong">
    <w:name w:val="Strong"/>
    <w:basedOn w:val="DefaultParagraphFont"/>
    <w:uiPriority w:val="22"/>
    <w:qFormat/>
    <w:rsid w:val="0086477B"/>
    <w:rPr>
      <w:b/>
      <w:bCs/>
    </w:rPr>
  </w:style>
  <w:style w:type="paragraph" w:styleId="ListParagraph">
    <w:name w:val="List Paragraph"/>
    <w:basedOn w:val="Normal"/>
    <w:uiPriority w:val="34"/>
    <w:qFormat/>
    <w:rsid w:val="0086477B"/>
    <w:pPr>
      <w:ind w:left="720"/>
      <w:contextualSpacing/>
    </w:pPr>
  </w:style>
  <w:style w:type="paragraph" w:styleId="NormalWeb">
    <w:name w:val="Normal (Web)"/>
    <w:basedOn w:val="Normal"/>
    <w:uiPriority w:val="99"/>
    <w:unhideWhenUsed/>
    <w:rsid w:val="008634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4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M77Ok1ER41GHVIFTUr4cfaN3g==">AMUW2mUV/DyqSPdDP/Ti0XDboedAcmAICLCFvKPsyF/C47htg/66mSErHr8V0aJ6tWa1wxd+D3U1f46wTEFSSw2W6TKprKObNxtkNrMQhT/dEmknz8B9jrKKJU5Xxitr4MsKs3PlP/Sb9tFta205pMNTQUuOg4dI2w==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Nyehita</dc:creator>
  <cp:lastModifiedBy>Mary Bruce</cp:lastModifiedBy>
  <cp:revision>7</cp:revision>
  <dcterms:created xsi:type="dcterms:W3CDTF">2024-05-16T19:44:00Z</dcterms:created>
  <dcterms:modified xsi:type="dcterms:W3CDTF">2024-05-17T08:39:00Z</dcterms:modified>
</cp:coreProperties>
</file>