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28E0" w14:textId="77777777" w:rsidR="00452542" w:rsidRDefault="00000000">
      <w:pPr>
        <w:widowControl w:val="0"/>
        <w:shd w:val="clear" w:color="auto" w:fill="FFFFFF"/>
        <w:spacing w:after="200" w:line="276" w:lineRule="auto"/>
        <w:jc w:val="center"/>
        <w:rPr>
          <w:rFonts w:ascii="Arial" w:eastAsia="Arial" w:hAnsi="Arial" w:cs="Arial"/>
          <w:b/>
        </w:rPr>
      </w:pPr>
      <w:r>
        <w:rPr>
          <w:rFonts w:ascii="Arial" w:eastAsia="Arial" w:hAnsi="Arial" w:cs="Arial"/>
          <w:b/>
          <w:noProof/>
        </w:rPr>
        <w:drawing>
          <wp:inline distT="114300" distB="114300" distL="114300" distR="114300" wp14:anchorId="542F6617" wp14:editId="396C747F">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2ABD1E4D" w14:textId="77777777" w:rsidR="00452542" w:rsidRDefault="00000000">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34402C71" w14:textId="77777777" w:rsidR="00452542" w:rsidRDefault="00000000">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1CF5B4EF" w14:textId="77777777" w:rsidR="00452542" w:rsidRDefault="00452542">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452542" w14:paraId="1EAE5D2E" w14:textId="77777777">
        <w:tc>
          <w:tcPr>
            <w:tcW w:w="9007" w:type="dxa"/>
            <w:gridSpan w:val="2"/>
          </w:tcPr>
          <w:p w14:paraId="192AEC0D" w14:textId="1C84F265" w:rsidR="00452542" w:rsidRDefault="008312E1">
            <w:pPr>
              <w:spacing w:after="0" w:line="276" w:lineRule="auto"/>
              <w:jc w:val="center"/>
              <w:rPr>
                <w:rFonts w:ascii="Gill Sans" w:eastAsia="Gill Sans" w:hAnsi="Gill Sans" w:cs="Gill Sans"/>
                <w:b/>
                <w:i/>
              </w:rPr>
            </w:pPr>
            <w:r w:rsidRPr="008312E1">
              <w:rPr>
                <w:rFonts w:ascii="Gill Sans" w:eastAsia="Gill Sans" w:hAnsi="Gill Sans" w:cs="Gill Sans"/>
                <w:b/>
                <w:i/>
              </w:rPr>
              <w:t>Special Investigating Unit v Member of Executive Council for Department of Transport, KwaZulu-Natal and Another (KN/01/2021) [2024] ZAST 2</w:t>
            </w:r>
          </w:p>
        </w:tc>
      </w:tr>
      <w:tr w:rsidR="00A25E20" w14:paraId="235D0103" w14:textId="77777777">
        <w:tc>
          <w:tcPr>
            <w:tcW w:w="2689" w:type="dxa"/>
          </w:tcPr>
          <w:p w14:paraId="223978DE" w14:textId="77777777"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11DE973F" w14:textId="7D7A3871"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https://lawlibrary.org.za/akn/za/judgment/zast/2024/2/eng@2024-02-27</w:t>
            </w:r>
          </w:p>
        </w:tc>
      </w:tr>
      <w:tr w:rsidR="00A25E20" w14:paraId="4CB4C4E1" w14:textId="77777777">
        <w:tc>
          <w:tcPr>
            <w:tcW w:w="2689" w:type="dxa"/>
          </w:tcPr>
          <w:p w14:paraId="41FCA19D" w14:textId="77777777"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13D0CF7E" w14:textId="54D450D8"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(KN/01/2021) [2024] ZAST 2</w:t>
            </w:r>
          </w:p>
        </w:tc>
      </w:tr>
      <w:tr w:rsidR="00A25E20" w14:paraId="0A7D0BBB" w14:textId="77777777">
        <w:tc>
          <w:tcPr>
            <w:tcW w:w="2689" w:type="dxa"/>
          </w:tcPr>
          <w:p w14:paraId="4DF1B6BE" w14:textId="77777777"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4CFC6A0B" w14:textId="702E49CE"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27 February 2024</w:t>
            </w:r>
          </w:p>
        </w:tc>
      </w:tr>
      <w:tr w:rsidR="00A25E20" w14:paraId="72C8CF9E" w14:textId="77777777">
        <w:tc>
          <w:tcPr>
            <w:tcW w:w="2689" w:type="dxa"/>
          </w:tcPr>
          <w:p w14:paraId="7A37AF57" w14:textId="77777777" w:rsidR="00A25E20" w:rsidRDefault="00A25E20" w:rsidP="00A25E20">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454E9577" w14:textId="3AD24DC9"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Special Tribunal, application, review, legality, procurement process, tender, delay, condonation, counterapplication, strike out, interests of justice, prejudice, application to compel, merits</w:t>
            </w:r>
          </w:p>
        </w:tc>
      </w:tr>
      <w:tr w:rsidR="00452542" w14:paraId="35785F2E" w14:textId="77777777">
        <w:tc>
          <w:tcPr>
            <w:tcW w:w="2689" w:type="dxa"/>
          </w:tcPr>
          <w:p w14:paraId="1CD1D4FD"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1191C779" w14:textId="77777777" w:rsidR="00A25E20" w:rsidRDefault="00A25E20" w:rsidP="00A25E20">
            <w:pPr>
              <w:spacing w:after="0" w:line="276" w:lineRule="auto"/>
              <w:jc w:val="both"/>
              <w:rPr>
                <w:rFonts w:ascii="Gill Sans" w:eastAsia="Gill Sans" w:hAnsi="Gill Sans" w:cs="Gill Sans"/>
              </w:rPr>
            </w:pPr>
            <w:bookmarkStart w:id="0" w:name="_heading=h.gjdgxs" w:colFirst="0" w:colLast="0"/>
            <w:bookmarkEnd w:id="0"/>
            <w:r>
              <w:rPr>
                <w:rFonts w:ascii="Gill Sans" w:eastAsia="Gill Sans" w:hAnsi="Gill Sans" w:cs="Gill Sans"/>
              </w:rPr>
              <w:t>The Special Investigating Unit, the applicant (</w:t>
            </w:r>
            <w:r>
              <w:rPr>
                <w:rFonts w:ascii="Gill Sans" w:eastAsia="Gill Sans" w:hAnsi="Gill Sans" w:cs="Gill Sans"/>
                <w:b/>
                <w:bCs/>
              </w:rPr>
              <w:t>SIU</w:t>
            </w:r>
            <w:r>
              <w:rPr>
                <w:rFonts w:ascii="Gill Sans" w:eastAsia="Gill Sans" w:hAnsi="Gill Sans" w:cs="Gill Sans"/>
              </w:rPr>
              <w:t>), sought to review and set aside the Member of the Executive Council for the Department of Transport, Kwazulu-Natal, the first respondent’s (</w:t>
            </w:r>
            <w:r>
              <w:rPr>
                <w:rFonts w:ascii="Gill Sans" w:eastAsia="Gill Sans" w:hAnsi="Gill Sans" w:cs="Gill Sans"/>
                <w:b/>
                <w:bCs/>
              </w:rPr>
              <w:t>MEC’s</w:t>
            </w:r>
            <w:r>
              <w:rPr>
                <w:rFonts w:ascii="Gill Sans" w:eastAsia="Gill Sans" w:hAnsi="Gill Sans" w:cs="Gill Sans"/>
              </w:rPr>
              <w:t>), decision to award Nexor 312, the second respondent (</w:t>
            </w:r>
            <w:r>
              <w:rPr>
                <w:rFonts w:ascii="Gill Sans" w:eastAsia="Gill Sans" w:hAnsi="Gill Sans" w:cs="Gill Sans"/>
                <w:b/>
                <w:bCs/>
              </w:rPr>
              <w:t>Nexor</w:t>
            </w:r>
            <w:r>
              <w:rPr>
                <w:rFonts w:ascii="Gill Sans" w:eastAsia="Gill Sans" w:hAnsi="Gill Sans" w:cs="Gill Sans"/>
              </w:rPr>
              <w:t>), a tender relating to the provision of certain services (</w:t>
            </w:r>
            <w:r>
              <w:rPr>
                <w:rFonts w:ascii="Gill Sans" w:eastAsia="Gill Sans" w:hAnsi="Gill Sans" w:cs="Gill Sans"/>
                <w:b/>
                <w:bCs/>
              </w:rPr>
              <w:t>Review Application</w:t>
            </w:r>
            <w:r>
              <w:rPr>
                <w:rFonts w:ascii="Gill Sans" w:eastAsia="Gill Sans" w:hAnsi="Gill Sans" w:cs="Gill Sans"/>
              </w:rPr>
              <w:t>). Nexor was awarded the tender because its bid met all the tender requirements. Nexor concluded a contract with the Department of Transport (</w:t>
            </w:r>
            <w:r>
              <w:rPr>
                <w:rFonts w:ascii="Gill Sans" w:eastAsia="Gill Sans" w:hAnsi="Gill Sans" w:cs="Gill Sans"/>
                <w:b/>
                <w:bCs/>
              </w:rPr>
              <w:t>DOT</w:t>
            </w:r>
            <w:r>
              <w:rPr>
                <w:rFonts w:ascii="Gill Sans" w:eastAsia="Gill Sans" w:hAnsi="Gill Sans" w:cs="Gill Sans"/>
              </w:rPr>
              <w:t xml:space="preserve">) and fulfilled its obligations in terms of the contract. </w:t>
            </w:r>
          </w:p>
          <w:p w14:paraId="209E3052" w14:textId="77777777" w:rsidR="00A25E20" w:rsidRDefault="00A25E20" w:rsidP="00A25E20">
            <w:pPr>
              <w:spacing w:after="0" w:line="276" w:lineRule="auto"/>
              <w:jc w:val="both"/>
              <w:rPr>
                <w:rFonts w:ascii="Gill Sans" w:eastAsia="Gill Sans" w:hAnsi="Gill Sans" w:cs="Gill Sans"/>
              </w:rPr>
            </w:pPr>
          </w:p>
          <w:p w14:paraId="6FB07894" w14:textId="77777777"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Nexor and MEC opposed the Review Application, and the MEC brought a counterapplication (</w:t>
            </w:r>
            <w:r>
              <w:rPr>
                <w:rFonts w:ascii="Gill Sans" w:eastAsia="Gill Sans" w:hAnsi="Gill Sans" w:cs="Gill Sans"/>
                <w:b/>
                <w:bCs/>
              </w:rPr>
              <w:t>Counterapplication</w:t>
            </w:r>
            <w:r>
              <w:rPr>
                <w:rFonts w:ascii="Gill Sans" w:eastAsia="Gill Sans" w:hAnsi="Gill Sans" w:cs="Gill Sans"/>
              </w:rPr>
              <w:t xml:space="preserve">). </w:t>
            </w:r>
          </w:p>
          <w:p w14:paraId="600EA7D8" w14:textId="77777777" w:rsidR="00A25E20" w:rsidRDefault="00A25E20" w:rsidP="00A25E20">
            <w:pPr>
              <w:spacing w:after="0" w:line="276" w:lineRule="auto"/>
              <w:jc w:val="both"/>
              <w:rPr>
                <w:rFonts w:ascii="Gill Sans" w:eastAsia="Gill Sans" w:hAnsi="Gill Sans" w:cs="Gill Sans"/>
              </w:rPr>
            </w:pPr>
          </w:p>
          <w:p w14:paraId="38E4B9AA" w14:textId="2D4A00D5" w:rsidR="00452542" w:rsidRDefault="00A25E20" w:rsidP="00A25E20">
            <w:pPr>
              <w:spacing w:after="0" w:line="276" w:lineRule="auto"/>
              <w:jc w:val="both"/>
              <w:rPr>
                <w:rFonts w:ascii="Gill Sans" w:eastAsia="Gill Sans" w:hAnsi="Gill Sans" w:cs="Gill Sans"/>
              </w:rPr>
            </w:pPr>
            <w:r>
              <w:rPr>
                <w:rFonts w:ascii="Gill Sans" w:eastAsia="Gill Sans" w:hAnsi="Gill Sans" w:cs="Gill Sans"/>
              </w:rPr>
              <w:t>The SIU and the MEC both sought orders condoning the delay in bringing the respective applications.</w:t>
            </w:r>
          </w:p>
          <w:p w14:paraId="01072295" w14:textId="77777777" w:rsidR="00452542" w:rsidRDefault="00452542">
            <w:pPr>
              <w:spacing w:after="0" w:line="276" w:lineRule="auto"/>
              <w:jc w:val="both"/>
              <w:rPr>
                <w:rFonts w:ascii="Gill Sans" w:eastAsia="Gill Sans" w:hAnsi="Gill Sans" w:cs="Gill Sans"/>
              </w:rPr>
            </w:pPr>
            <w:bookmarkStart w:id="1" w:name="_heading=h.jnwmbrohwg7k" w:colFirst="0" w:colLast="0"/>
            <w:bookmarkEnd w:id="1"/>
          </w:p>
          <w:p w14:paraId="39B37ABC" w14:textId="5631F4FA" w:rsidR="00A25E20" w:rsidRDefault="00A25E20">
            <w:pPr>
              <w:spacing w:after="0" w:line="276" w:lineRule="auto"/>
              <w:jc w:val="both"/>
              <w:rPr>
                <w:rFonts w:ascii="Gill Sans" w:eastAsia="Gill Sans" w:hAnsi="Gill Sans" w:cs="Gill Sans"/>
              </w:rPr>
            </w:pPr>
            <w:r>
              <w:rPr>
                <w:rFonts w:ascii="Gill Sans" w:eastAsia="Gill Sans" w:hAnsi="Gill Sans" w:cs="Gill Sans"/>
              </w:rPr>
              <w:lastRenderedPageBreak/>
              <w:t>The Special Tribunal (</w:t>
            </w:r>
            <w:r>
              <w:rPr>
                <w:rFonts w:ascii="Gill Sans" w:eastAsia="Gill Sans" w:hAnsi="Gill Sans" w:cs="Gill Sans"/>
                <w:b/>
                <w:bCs/>
              </w:rPr>
              <w:t>Tribunal</w:t>
            </w:r>
            <w:r>
              <w:rPr>
                <w:rFonts w:ascii="Gill Sans" w:eastAsia="Gill Sans" w:hAnsi="Gill Sans" w:cs="Gill Sans"/>
              </w:rPr>
              <w:t>) was asked to consider the Review Application, and whether the SIU ought to be granted an order condoning the delay in bringing the application. The Tribunal was also asked to consider the Counterapplication, and whether a condonation order ought to be granted to the MEC.</w:t>
            </w:r>
          </w:p>
        </w:tc>
      </w:tr>
      <w:tr w:rsidR="00452542" w14:paraId="6540BF58" w14:textId="77777777">
        <w:tc>
          <w:tcPr>
            <w:tcW w:w="2689" w:type="dxa"/>
          </w:tcPr>
          <w:p w14:paraId="65E83C3A"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14:paraId="195B7914" w14:textId="3090458D" w:rsidR="00452542" w:rsidRDefault="00A25E20">
            <w:pPr>
              <w:spacing w:after="0"/>
              <w:jc w:val="both"/>
              <w:rPr>
                <w:rFonts w:ascii="Gill Sans" w:eastAsia="Gill Sans" w:hAnsi="Gill Sans" w:cs="Gill Sans"/>
              </w:rPr>
            </w:pPr>
            <w:r>
              <w:rPr>
                <w:rFonts w:ascii="Gill Sans" w:eastAsia="Gill Sans" w:hAnsi="Gill Sans" w:cs="Gill Sans"/>
              </w:rPr>
              <w:t>The Tribunal dismissed the Review Application and the Counterapplication.</w:t>
            </w:r>
          </w:p>
        </w:tc>
      </w:tr>
      <w:tr w:rsidR="00452542" w14:paraId="0BFDA230" w14:textId="77777777">
        <w:tc>
          <w:tcPr>
            <w:tcW w:w="2689" w:type="dxa"/>
          </w:tcPr>
          <w:p w14:paraId="7FF96CF4"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14:paraId="326517D4" w14:textId="77777777" w:rsidR="00A25E20" w:rsidRDefault="00A25E20" w:rsidP="00A25E20">
            <w:pPr>
              <w:spacing w:after="0" w:line="276" w:lineRule="auto"/>
              <w:jc w:val="both"/>
              <w:rPr>
                <w:rFonts w:ascii="Gill Sans" w:eastAsia="Gill Sans" w:hAnsi="Gill Sans" w:cs="Gill Sans"/>
              </w:rPr>
            </w:pPr>
            <w:r>
              <w:rPr>
                <w:rFonts w:ascii="Gill Sans" w:eastAsia="Gill Sans" w:hAnsi="Gill Sans" w:cs="Gill Sans"/>
              </w:rPr>
              <w:t xml:space="preserve">The Review Application was brought under the principle of legality, and therefore not subject to fixed time for bringing the review. However, the Tribunal found the SIU’s explanation for the delay to be inadequate, and that the potential prejudice to the respondents were significant. The SIU lacked prospects of success on the merits, and the Tribunal could therefore not condone the delay as this would not serve the interests of justice. The Review Application was dismissed. </w:t>
            </w:r>
          </w:p>
          <w:p w14:paraId="6B4FF728" w14:textId="77777777" w:rsidR="00A25E20" w:rsidRDefault="00A25E20" w:rsidP="00A25E20">
            <w:pPr>
              <w:spacing w:after="0" w:line="276" w:lineRule="auto"/>
              <w:jc w:val="both"/>
              <w:rPr>
                <w:rFonts w:ascii="Gill Sans" w:eastAsia="Gill Sans" w:hAnsi="Gill Sans" w:cs="Gill Sans"/>
              </w:rPr>
            </w:pPr>
          </w:p>
          <w:p w14:paraId="1ED5D29D" w14:textId="75C99CE2" w:rsidR="00452542" w:rsidRDefault="00A25E20" w:rsidP="00A25E20">
            <w:pPr>
              <w:spacing w:after="0" w:line="276" w:lineRule="auto"/>
              <w:jc w:val="both"/>
              <w:rPr>
                <w:rFonts w:ascii="Gill Sans" w:eastAsia="Gill Sans" w:hAnsi="Gill Sans" w:cs="Gill Sans"/>
              </w:rPr>
            </w:pPr>
            <w:r>
              <w:rPr>
                <w:rFonts w:ascii="Gill Sans" w:eastAsia="Gill Sans" w:hAnsi="Gill Sans" w:cs="Gill Sans"/>
              </w:rPr>
              <w:t>Similarly, the Tribunal found that the MEC had not made a proper case for an order of condonation, and that it would not serve the interests of justice to overlook the delay. The Counterapplication was therefore also dismissed.</w:t>
            </w:r>
          </w:p>
        </w:tc>
      </w:tr>
      <w:tr w:rsidR="00452542" w14:paraId="454B58C5" w14:textId="77777777">
        <w:tc>
          <w:tcPr>
            <w:tcW w:w="2689" w:type="dxa"/>
          </w:tcPr>
          <w:p w14:paraId="1C43B40D"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t>Reported by</w:t>
            </w:r>
          </w:p>
          <w:p w14:paraId="6C5F1B6E"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32C37AF6" w14:textId="77777777" w:rsidR="00452542" w:rsidRDefault="00000000">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17AC3A75" w14:textId="4AD9E1C1" w:rsidR="000732B5" w:rsidRDefault="000732B5">
            <w:pPr>
              <w:spacing w:after="0" w:line="276" w:lineRule="auto"/>
              <w:jc w:val="both"/>
              <w:rPr>
                <w:rFonts w:ascii="Gill Sans" w:eastAsia="Gill Sans" w:hAnsi="Gill Sans" w:cs="Gill Sans"/>
              </w:rPr>
            </w:pPr>
            <w:r>
              <w:rPr>
                <w:rFonts w:ascii="Gill Sans" w:eastAsia="Gill Sans" w:hAnsi="Gill Sans" w:cs="Gill Sans"/>
              </w:rPr>
              <w:t>27 February 2024</w:t>
            </w:r>
          </w:p>
        </w:tc>
      </w:tr>
    </w:tbl>
    <w:p w14:paraId="7699553B" w14:textId="77777777" w:rsidR="00452542" w:rsidRDefault="00452542">
      <w:pPr>
        <w:spacing w:after="0" w:line="276" w:lineRule="auto"/>
        <w:jc w:val="both"/>
        <w:rPr>
          <w:rFonts w:ascii="Gill Sans" w:eastAsia="Gill Sans" w:hAnsi="Gill Sans" w:cs="Gill Sans"/>
        </w:rPr>
      </w:pPr>
    </w:p>
    <w:p w14:paraId="7367A633" w14:textId="77777777" w:rsidR="00452542" w:rsidRDefault="00452542">
      <w:pPr>
        <w:rPr>
          <w:rFonts w:ascii="Gill Sans" w:eastAsia="Gill Sans" w:hAnsi="Gill Sans" w:cs="Gill Sans"/>
        </w:rPr>
      </w:pPr>
    </w:p>
    <w:p w14:paraId="6A5FF6C6" w14:textId="77777777" w:rsidR="00452542" w:rsidRDefault="00452542"/>
    <w:p w14:paraId="7E8AFAB1" w14:textId="77777777" w:rsidR="00452542" w:rsidRDefault="00452542"/>
    <w:p w14:paraId="34C066AA" w14:textId="77777777" w:rsidR="00452542" w:rsidRDefault="00452542"/>
    <w:sectPr w:rsidR="0045254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EE51" w14:textId="77777777" w:rsidR="00C97A78" w:rsidRDefault="00C97A78">
      <w:pPr>
        <w:spacing w:after="0" w:line="240" w:lineRule="auto"/>
      </w:pPr>
      <w:r>
        <w:separator/>
      </w:r>
    </w:p>
  </w:endnote>
  <w:endnote w:type="continuationSeparator" w:id="0">
    <w:p w14:paraId="0197C223" w14:textId="77777777" w:rsidR="00C97A78" w:rsidRDefault="00C9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AF6" w14:textId="77777777" w:rsidR="00C97A78" w:rsidRDefault="00C97A78">
      <w:pPr>
        <w:spacing w:after="0" w:line="240" w:lineRule="auto"/>
      </w:pPr>
      <w:r>
        <w:separator/>
      </w:r>
    </w:p>
  </w:footnote>
  <w:footnote w:type="continuationSeparator" w:id="0">
    <w:p w14:paraId="3892D2DD" w14:textId="77777777" w:rsidR="00C97A78" w:rsidRDefault="00C97A78">
      <w:pPr>
        <w:spacing w:after="0" w:line="240" w:lineRule="auto"/>
      </w:pPr>
      <w:r>
        <w:continuationSeparator/>
      </w:r>
    </w:p>
  </w:footnote>
  <w:footnote w:id="1">
    <w:p w14:paraId="4EC8C880" w14:textId="77777777" w:rsidR="00A25E20" w:rsidRDefault="00A25E20">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07C0B0F1" w14:textId="77777777" w:rsidR="00452542" w:rsidRDefault="00000000">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0650CA3F" w14:textId="77777777" w:rsidR="00452542" w:rsidRDefault="00000000">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646B8B4E" w14:textId="77777777" w:rsidR="00452542" w:rsidRDefault="00000000">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42"/>
    <w:rsid w:val="000732B5"/>
    <w:rsid w:val="00452542"/>
    <w:rsid w:val="008312E1"/>
    <w:rsid w:val="00A25E20"/>
    <w:rsid w:val="00C97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30CD"/>
  <w15:docId w15:val="{9B4CC36D-118A-4B0E-A123-D574F60B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7394">
      <w:bodyDiv w:val="1"/>
      <w:marLeft w:val="0"/>
      <w:marRight w:val="0"/>
      <w:marTop w:val="0"/>
      <w:marBottom w:val="0"/>
      <w:divBdr>
        <w:top w:val="none" w:sz="0" w:space="0" w:color="auto"/>
        <w:left w:val="none" w:sz="0" w:space="0" w:color="auto"/>
        <w:bottom w:val="none" w:sz="0" w:space="0" w:color="auto"/>
        <w:right w:val="none" w:sz="0" w:space="0" w:color="auto"/>
      </w:divBdr>
    </w:div>
    <w:div w:id="133707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Li-Fen Chien</cp:lastModifiedBy>
  <cp:revision>3</cp:revision>
  <dcterms:created xsi:type="dcterms:W3CDTF">2024-02-27T20:19:00Z</dcterms:created>
  <dcterms:modified xsi:type="dcterms:W3CDTF">2024-02-27T23:39:00Z</dcterms:modified>
</cp:coreProperties>
</file>