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B9973" w14:textId="77777777" w:rsidR="008855FD" w:rsidRDefault="009E2C83">
      <w:pPr>
        <w:widowControl w:val="0"/>
        <w:shd w:val="clear" w:color="auto" w:fill="FFFFFF"/>
        <w:spacing w:after="200" w:line="276" w:lineRule="auto"/>
        <w:jc w:val="center"/>
        <w:rPr>
          <w:rFonts w:ascii="Arial" w:eastAsia="Arial" w:hAnsi="Arial" w:cs="Arial"/>
          <w:b/>
        </w:rPr>
      </w:pPr>
      <w:bookmarkStart w:id="0" w:name="_GoBack"/>
      <w:bookmarkEnd w:id="0"/>
      <w:r>
        <w:rPr>
          <w:rFonts w:ascii="Arial" w:eastAsia="Arial" w:hAnsi="Arial" w:cs="Arial"/>
          <w:b/>
          <w:noProof/>
        </w:rPr>
        <w:drawing>
          <wp:inline distT="114300" distB="114300" distL="114300" distR="114300" wp14:anchorId="229D34D9" wp14:editId="04013A95">
            <wp:extent cx="1311112" cy="11579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11112" cy="1157945"/>
                    </a:xfrm>
                    <a:prstGeom prst="rect">
                      <a:avLst/>
                    </a:prstGeom>
                    <a:ln/>
                  </pic:spPr>
                </pic:pic>
              </a:graphicData>
            </a:graphic>
          </wp:inline>
        </w:drawing>
      </w:r>
    </w:p>
    <w:p w14:paraId="5CBABC73" w14:textId="77777777" w:rsidR="008855FD" w:rsidRDefault="009E2C83">
      <w:pPr>
        <w:widowControl w:val="0"/>
        <w:shd w:val="clear" w:color="auto" w:fill="FFFFFF"/>
        <w:spacing w:after="240" w:line="276" w:lineRule="auto"/>
        <w:jc w:val="center"/>
        <w:rPr>
          <w:rFonts w:ascii="Arial" w:eastAsia="Arial" w:hAnsi="Arial" w:cs="Arial"/>
          <w:b/>
        </w:rPr>
      </w:pPr>
      <w:r>
        <w:rPr>
          <w:rFonts w:ascii="Arial" w:eastAsia="Arial" w:hAnsi="Arial" w:cs="Arial"/>
          <w:b/>
        </w:rPr>
        <w:t>IN THE SPECIAL TRIBUNAL ESTABLISHED IN TERMS OF SECTION 2 (1) OF THE SPECIAL INVESTIGATIONS UNIT AND SPECIAL TRIBUNALS ACT 74 OF 1996</w:t>
      </w:r>
    </w:p>
    <w:p w14:paraId="02DC625F" w14:textId="77777777" w:rsidR="008855FD" w:rsidRDefault="009E2C83">
      <w:pPr>
        <w:widowControl w:val="0"/>
        <w:shd w:val="clear" w:color="auto" w:fill="FFFFFF"/>
        <w:spacing w:after="240" w:line="276" w:lineRule="auto"/>
        <w:jc w:val="center"/>
        <w:rPr>
          <w:rFonts w:ascii="Arial" w:eastAsia="Arial" w:hAnsi="Arial" w:cs="Arial"/>
          <w:b/>
          <w:sz w:val="28"/>
          <w:szCs w:val="28"/>
        </w:rPr>
      </w:pPr>
      <w:r>
        <w:rPr>
          <w:rFonts w:ascii="Arial" w:eastAsia="Arial" w:hAnsi="Arial" w:cs="Arial"/>
          <w:b/>
          <w:sz w:val="28"/>
          <w:szCs w:val="28"/>
        </w:rPr>
        <w:t>JUDGMENT SUMMARY</w:t>
      </w:r>
    </w:p>
    <w:p w14:paraId="5BB67AC7" w14:textId="77777777" w:rsidR="008855FD" w:rsidRDefault="008855FD">
      <w:pPr>
        <w:widowControl w:val="0"/>
        <w:pBdr>
          <w:top w:val="nil"/>
          <w:left w:val="nil"/>
          <w:bottom w:val="nil"/>
          <w:right w:val="nil"/>
          <w:between w:val="nil"/>
        </w:pBdr>
        <w:spacing w:after="0" w:line="276" w:lineRule="auto"/>
        <w:jc w:val="center"/>
        <w:rPr>
          <w:rFonts w:ascii="Arial" w:eastAsia="Arial" w:hAnsi="Arial" w:cs="Arial"/>
          <w:b/>
        </w:rPr>
      </w:pPr>
    </w:p>
    <w:tbl>
      <w:tblPr>
        <w:tblStyle w:val="a2"/>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8855FD" w14:paraId="0EF3CCB8" w14:textId="77777777">
        <w:tc>
          <w:tcPr>
            <w:tcW w:w="9007" w:type="dxa"/>
            <w:gridSpan w:val="2"/>
          </w:tcPr>
          <w:p w14:paraId="0290FAD7" w14:textId="4E705BAB" w:rsidR="008855FD" w:rsidRDefault="006F393D">
            <w:pPr>
              <w:spacing w:after="0" w:line="276" w:lineRule="auto"/>
              <w:jc w:val="center"/>
              <w:rPr>
                <w:rFonts w:ascii="Gill Sans" w:eastAsia="Gill Sans" w:hAnsi="Gill Sans" w:cs="Gill Sans"/>
                <w:b/>
                <w:i/>
              </w:rPr>
            </w:pPr>
            <w:r w:rsidRPr="006F393D">
              <w:rPr>
                <w:rFonts w:ascii="Gill Sans" w:eastAsia="Gill Sans" w:hAnsi="Gill Sans" w:cs="Gill Sans"/>
                <w:b/>
                <w:i/>
              </w:rPr>
              <w:t>Special Investigating Unit and Another v Zulu and Others</w:t>
            </w:r>
          </w:p>
        </w:tc>
      </w:tr>
      <w:tr w:rsidR="008855FD" w14:paraId="688518C4" w14:textId="77777777">
        <w:tc>
          <w:tcPr>
            <w:tcW w:w="2689" w:type="dxa"/>
          </w:tcPr>
          <w:p w14:paraId="3A0174AE" w14:textId="77777777" w:rsidR="008855FD" w:rsidRDefault="009E2C83">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14:paraId="64E60CC7" w14:textId="68D634B0" w:rsidR="008855FD" w:rsidRDefault="009E2C83">
            <w:pPr>
              <w:spacing w:after="0" w:line="276" w:lineRule="auto"/>
              <w:jc w:val="both"/>
              <w:rPr>
                <w:rFonts w:ascii="Gill Sans" w:eastAsia="Gill Sans" w:hAnsi="Gill Sans" w:cs="Gill Sans"/>
              </w:rPr>
            </w:pPr>
            <w:hyperlink r:id="rId8" w:history="1">
              <w:r w:rsidR="00B37220" w:rsidRPr="00E261AF">
                <w:rPr>
                  <w:rStyle w:val="Hyperlink"/>
                  <w:rFonts w:ascii="Gill Sans" w:eastAsia="Gill Sans" w:hAnsi="Gill Sans" w:cs="Gill Sans"/>
                </w:rPr>
                <w:t>https://lawlibrary.org.za/akn/za/judgment/zast/2023/15/eng@2023-11-13</w:t>
              </w:r>
            </w:hyperlink>
            <w:r w:rsidR="00B37220">
              <w:rPr>
                <w:rFonts w:ascii="Gill Sans" w:eastAsia="Gill Sans" w:hAnsi="Gill Sans" w:cs="Gill Sans"/>
              </w:rPr>
              <w:t xml:space="preserve"> </w:t>
            </w:r>
          </w:p>
        </w:tc>
      </w:tr>
      <w:tr w:rsidR="008855FD" w14:paraId="77548146" w14:textId="77777777">
        <w:tc>
          <w:tcPr>
            <w:tcW w:w="2689" w:type="dxa"/>
          </w:tcPr>
          <w:p w14:paraId="5513F550" w14:textId="77777777" w:rsidR="008855FD" w:rsidRDefault="009E2C83">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14:paraId="79B6DD4B" w14:textId="7108E8AF" w:rsidR="008855FD" w:rsidRDefault="00B37220">
            <w:pPr>
              <w:spacing w:after="0" w:line="276" w:lineRule="auto"/>
              <w:jc w:val="both"/>
              <w:rPr>
                <w:rFonts w:ascii="Gill Sans" w:eastAsia="Gill Sans" w:hAnsi="Gill Sans" w:cs="Gill Sans"/>
              </w:rPr>
            </w:pPr>
            <w:r w:rsidRPr="00B37220">
              <w:rPr>
                <w:rFonts w:ascii="Gill Sans" w:eastAsia="Gill Sans" w:hAnsi="Gill Sans" w:cs="Gill Sans"/>
              </w:rPr>
              <w:t>(GP/04/2022) [2023] ZAST 15</w:t>
            </w:r>
          </w:p>
        </w:tc>
      </w:tr>
      <w:tr w:rsidR="008855FD" w14:paraId="61A4C995" w14:textId="77777777">
        <w:tc>
          <w:tcPr>
            <w:tcW w:w="2689" w:type="dxa"/>
          </w:tcPr>
          <w:p w14:paraId="7FF06485" w14:textId="77777777" w:rsidR="008855FD" w:rsidRDefault="009E2C83">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14:paraId="444D3987" w14:textId="071A980E" w:rsidR="008855FD" w:rsidRDefault="00B37220">
            <w:pPr>
              <w:spacing w:after="0" w:line="276" w:lineRule="auto"/>
              <w:jc w:val="both"/>
              <w:rPr>
                <w:rFonts w:ascii="Gill Sans" w:eastAsia="Gill Sans" w:hAnsi="Gill Sans" w:cs="Gill Sans"/>
              </w:rPr>
            </w:pPr>
            <w:r>
              <w:rPr>
                <w:rFonts w:ascii="Gill Sans" w:eastAsia="Gill Sans" w:hAnsi="Gill Sans" w:cs="Gill Sans"/>
              </w:rPr>
              <w:t>13 November 2023</w:t>
            </w:r>
          </w:p>
        </w:tc>
      </w:tr>
      <w:tr w:rsidR="008855FD" w14:paraId="6C327C33" w14:textId="77777777">
        <w:tc>
          <w:tcPr>
            <w:tcW w:w="2689" w:type="dxa"/>
          </w:tcPr>
          <w:p w14:paraId="09D6354B" w14:textId="77777777" w:rsidR="008855FD" w:rsidRDefault="009E2C83">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r>
              <w:rPr>
                <w:rFonts w:ascii="Gill Sans" w:eastAsia="Gill Sans" w:hAnsi="Gill Sans" w:cs="Gill Sans"/>
                <w:color w:val="000000"/>
                <w:sz w:val="24"/>
                <w:szCs w:val="24"/>
                <w:vertAlign w:val="superscript"/>
              </w:rPr>
              <w:footnoteReference w:id="1"/>
            </w:r>
          </w:p>
        </w:tc>
        <w:tc>
          <w:tcPr>
            <w:tcW w:w="6318" w:type="dxa"/>
          </w:tcPr>
          <w:p w14:paraId="79C741C1" w14:textId="7961B358" w:rsidR="008855FD" w:rsidRDefault="00305E55">
            <w:pPr>
              <w:spacing w:after="0" w:line="276" w:lineRule="auto"/>
              <w:jc w:val="both"/>
              <w:rPr>
                <w:rFonts w:ascii="Gill Sans" w:eastAsia="Gill Sans" w:hAnsi="Gill Sans" w:cs="Gill Sans"/>
              </w:rPr>
            </w:pPr>
            <w:r>
              <w:rPr>
                <w:rFonts w:ascii="Gill Sans" w:eastAsia="Gill Sans" w:hAnsi="Gill Sans" w:cs="Gill Sans"/>
              </w:rPr>
              <w:t>Special Tribunal, summons, unlawful, irregular conduct, common law, statutory obligations, duties, bribery, corruption, contract, profits, cause of action, exception, procurement, averment, interpretation</w:t>
            </w:r>
          </w:p>
        </w:tc>
      </w:tr>
      <w:tr w:rsidR="008855FD" w14:paraId="1BC93125" w14:textId="77777777">
        <w:tc>
          <w:tcPr>
            <w:tcW w:w="2689" w:type="dxa"/>
          </w:tcPr>
          <w:p w14:paraId="67D3B0BA" w14:textId="77777777" w:rsidR="008855FD" w:rsidRDefault="009E2C83">
            <w:pPr>
              <w:spacing w:after="0" w:line="276" w:lineRule="auto"/>
              <w:jc w:val="both"/>
              <w:rPr>
                <w:rFonts w:ascii="Gill Sans" w:eastAsia="Gill Sans" w:hAnsi="Gill Sans" w:cs="Gill Sans"/>
              </w:rPr>
            </w:pPr>
            <w:r>
              <w:rPr>
                <w:rFonts w:ascii="Gill Sans" w:eastAsia="Gill Sans" w:hAnsi="Gill Sans" w:cs="Gill Sans"/>
              </w:rPr>
              <w:t>Summary</w:t>
            </w:r>
            <w:r>
              <w:rPr>
                <w:rFonts w:ascii="Gill Sans" w:eastAsia="Gill Sans" w:hAnsi="Gill Sans" w:cs="Gill Sans"/>
                <w:vertAlign w:val="superscript"/>
              </w:rPr>
              <w:footnoteReference w:id="2"/>
            </w:r>
          </w:p>
        </w:tc>
        <w:tc>
          <w:tcPr>
            <w:tcW w:w="6318" w:type="dxa"/>
          </w:tcPr>
          <w:p w14:paraId="3F2FC7AE" w14:textId="30439B08" w:rsidR="008855FD" w:rsidRDefault="00305E55">
            <w:pPr>
              <w:spacing w:after="0" w:line="276" w:lineRule="auto"/>
              <w:jc w:val="both"/>
              <w:rPr>
                <w:rFonts w:ascii="Gill Sans" w:eastAsia="Gill Sans" w:hAnsi="Gill Sans" w:cs="Gill Sans"/>
              </w:rPr>
            </w:pPr>
            <w:bookmarkStart w:id="1" w:name="_heading=h.gjdgxs" w:colFirst="0" w:colLast="0"/>
            <w:bookmarkEnd w:id="1"/>
            <w:r>
              <w:rPr>
                <w:rFonts w:ascii="Gill Sans" w:eastAsia="Gill Sans" w:hAnsi="Gill Sans" w:cs="Gill Sans"/>
              </w:rPr>
              <w:t>The plaintiffs issued summons against the defendants regarding the alleged unlawful granting of contracts by the second plaintiff (</w:t>
            </w:r>
            <w:r>
              <w:rPr>
                <w:rFonts w:ascii="Gill Sans" w:eastAsia="Gill Sans" w:hAnsi="Gill Sans" w:cs="Gill Sans"/>
                <w:b/>
                <w:bCs/>
              </w:rPr>
              <w:t>Eskom</w:t>
            </w:r>
            <w:r>
              <w:rPr>
                <w:rFonts w:ascii="Gill Sans" w:eastAsia="Gill Sans" w:hAnsi="Gill Sans" w:cs="Gill Sans"/>
              </w:rPr>
              <w:t>) to the second and third defendants (</w:t>
            </w:r>
            <w:r>
              <w:rPr>
                <w:rFonts w:ascii="Gill Sans" w:eastAsia="Gill Sans" w:hAnsi="Gill Sans" w:cs="Gill Sans"/>
                <w:b/>
                <w:bCs/>
              </w:rPr>
              <w:t>Commodity Logistics</w:t>
            </w:r>
            <w:r>
              <w:rPr>
                <w:rFonts w:ascii="Gill Sans" w:eastAsia="Gill Sans" w:hAnsi="Gill Sans" w:cs="Gill Sans"/>
              </w:rPr>
              <w:t xml:space="preserve"> and </w:t>
            </w:r>
            <w:proofErr w:type="spellStart"/>
            <w:r>
              <w:rPr>
                <w:rFonts w:ascii="Gill Sans" w:eastAsia="Gill Sans" w:hAnsi="Gill Sans" w:cs="Gill Sans"/>
                <w:b/>
                <w:bCs/>
              </w:rPr>
              <w:t>Siba</w:t>
            </w:r>
            <w:proofErr w:type="spellEnd"/>
            <w:r>
              <w:rPr>
                <w:rFonts w:ascii="Gill Sans" w:eastAsia="Gill Sans" w:hAnsi="Gill Sans" w:cs="Gill Sans"/>
              </w:rPr>
              <w:t>). The first defendant (</w:t>
            </w:r>
            <w:r>
              <w:rPr>
                <w:rFonts w:ascii="Gill Sans" w:eastAsia="Gill Sans" w:hAnsi="Gill Sans" w:cs="Gill Sans"/>
                <w:b/>
                <w:bCs/>
              </w:rPr>
              <w:t>Zulu</w:t>
            </w:r>
            <w:r>
              <w:rPr>
                <w:rFonts w:ascii="Gill Sans" w:eastAsia="Gill Sans" w:hAnsi="Gill Sans" w:cs="Gill Sans"/>
              </w:rPr>
              <w:t xml:space="preserve">) was employed by Eskom, and had allegedly received substantial amounts of money from Commodity Logistics and </w:t>
            </w:r>
            <w:proofErr w:type="spellStart"/>
            <w:r>
              <w:rPr>
                <w:rFonts w:ascii="Gill Sans" w:eastAsia="Gill Sans" w:hAnsi="Gill Sans" w:cs="Gill Sans"/>
              </w:rPr>
              <w:t>Siba</w:t>
            </w:r>
            <w:proofErr w:type="spellEnd"/>
            <w:r>
              <w:rPr>
                <w:rFonts w:ascii="Gill Sans" w:eastAsia="Gill Sans" w:hAnsi="Gill Sans" w:cs="Gill Sans"/>
              </w:rPr>
              <w:t>, which the plaintiffs argued amounted to unlawful kickbacks. The defendants each filed an exception to the Particulars of Claim, on the basis that the plaintiffs had failed to disclose a cause of action, as well as the lack of averments necessary to sustain the action against them.</w:t>
            </w:r>
          </w:p>
          <w:p w14:paraId="2C9F4A37" w14:textId="77777777" w:rsidR="00305E55" w:rsidRDefault="00305E55">
            <w:pPr>
              <w:spacing w:after="0" w:line="276" w:lineRule="auto"/>
              <w:jc w:val="both"/>
              <w:rPr>
                <w:rFonts w:ascii="Gill Sans" w:eastAsia="Gill Sans" w:hAnsi="Gill Sans" w:cs="Gill Sans"/>
              </w:rPr>
            </w:pPr>
          </w:p>
          <w:p w14:paraId="270C3E92" w14:textId="671EBA67" w:rsidR="008855FD" w:rsidRDefault="00305E55">
            <w:pPr>
              <w:spacing w:after="0" w:line="276" w:lineRule="auto"/>
              <w:jc w:val="both"/>
              <w:rPr>
                <w:rFonts w:ascii="Gill Sans" w:eastAsia="Gill Sans" w:hAnsi="Gill Sans" w:cs="Gill Sans"/>
              </w:rPr>
            </w:pPr>
            <w:bookmarkStart w:id="2" w:name="_heading=h.jnwmbrohwg7k" w:colFirst="0" w:colLast="0"/>
            <w:bookmarkEnd w:id="2"/>
            <w:r>
              <w:rPr>
                <w:rFonts w:ascii="Gill Sans" w:eastAsia="Gill Sans" w:hAnsi="Gill Sans" w:cs="Gill Sans"/>
              </w:rPr>
              <w:t>The Special Tribunal (</w:t>
            </w:r>
            <w:r>
              <w:rPr>
                <w:rFonts w:ascii="Gill Sans" w:eastAsia="Gill Sans" w:hAnsi="Gill Sans" w:cs="Gill Sans"/>
                <w:b/>
                <w:bCs/>
              </w:rPr>
              <w:t>Tribunal</w:t>
            </w:r>
            <w:r>
              <w:rPr>
                <w:rFonts w:ascii="Gill Sans" w:eastAsia="Gill Sans" w:hAnsi="Gill Sans" w:cs="Gill Sans"/>
              </w:rPr>
              <w:t>) was asked to determine whether the exception could be upheld.</w:t>
            </w:r>
          </w:p>
        </w:tc>
      </w:tr>
      <w:tr w:rsidR="008855FD" w14:paraId="6CA47D69" w14:textId="77777777">
        <w:tc>
          <w:tcPr>
            <w:tcW w:w="2689" w:type="dxa"/>
          </w:tcPr>
          <w:p w14:paraId="106F2492" w14:textId="77777777" w:rsidR="008855FD" w:rsidRDefault="009E2C83">
            <w:pPr>
              <w:spacing w:after="0" w:line="276" w:lineRule="auto"/>
              <w:jc w:val="both"/>
              <w:rPr>
                <w:rFonts w:ascii="Gill Sans" w:eastAsia="Gill Sans" w:hAnsi="Gill Sans" w:cs="Gill Sans"/>
              </w:rPr>
            </w:pPr>
            <w:r>
              <w:rPr>
                <w:rFonts w:ascii="Gill Sans" w:eastAsia="Gill Sans" w:hAnsi="Gill Sans" w:cs="Gill Sans"/>
              </w:rPr>
              <w:t>Decision/ Judgment</w:t>
            </w:r>
            <w:r>
              <w:rPr>
                <w:rFonts w:ascii="Gill Sans" w:eastAsia="Gill Sans" w:hAnsi="Gill Sans" w:cs="Gill Sans"/>
                <w:vertAlign w:val="superscript"/>
              </w:rPr>
              <w:footnoteReference w:id="3"/>
            </w:r>
          </w:p>
        </w:tc>
        <w:tc>
          <w:tcPr>
            <w:tcW w:w="6318" w:type="dxa"/>
          </w:tcPr>
          <w:p w14:paraId="12DABD7F" w14:textId="111F6C71" w:rsidR="008855FD" w:rsidRDefault="00305E55">
            <w:pPr>
              <w:spacing w:after="0"/>
              <w:jc w:val="both"/>
              <w:rPr>
                <w:rFonts w:ascii="Gill Sans" w:eastAsia="Gill Sans" w:hAnsi="Gill Sans" w:cs="Gill Sans"/>
              </w:rPr>
            </w:pPr>
            <w:r>
              <w:rPr>
                <w:rFonts w:ascii="Gill Sans" w:eastAsia="Gill Sans" w:hAnsi="Gill Sans" w:cs="Gill Sans"/>
              </w:rPr>
              <w:t>The exception raised by the defendants were dismissed with costs.</w:t>
            </w:r>
          </w:p>
        </w:tc>
      </w:tr>
      <w:tr w:rsidR="008855FD" w14:paraId="71136DBA" w14:textId="77777777">
        <w:tc>
          <w:tcPr>
            <w:tcW w:w="2689" w:type="dxa"/>
          </w:tcPr>
          <w:p w14:paraId="7D6C21E6" w14:textId="77777777" w:rsidR="008855FD" w:rsidRDefault="009E2C83">
            <w:pPr>
              <w:spacing w:after="0" w:line="276" w:lineRule="auto"/>
              <w:jc w:val="both"/>
              <w:rPr>
                <w:rFonts w:ascii="Gill Sans" w:eastAsia="Gill Sans" w:hAnsi="Gill Sans" w:cs="Gill Sans"/>
              </w:rPr>
            </w:pPr>
            <w:r>
              <w:rPr>
                <w:rFonts w:ascii="Gill Sans" w:eastAsia="Gill Sans" w:hAnsi="Gill Sans" w:cs="Gill Sans"/>
              </w:rPr>
              <w:t xml:space="preserve">Basis </w:t>
            </w:r>
            <w:r>
              <w:rPr>
                <w:rFonts w:ascii="Gill Sans" w:eastAsia="Gill Sans" w:hAnsi="Gill Sans" w:cs="Gill Sans"/>
              </w:rPr>
              <w:t>of the decision</w:t>
            </w:r>
            <w:r>
              <w:rPr>
                <w:rFonts w:ascii="Gill Sans" w:eastAsia="Gill Sans" w:hAnsi="Gill Sans" w:cs="Gill Sans"/>
                <w:vertAlign w:val="superscript"/>
              </w:rPr>
              <w:footnoteReference w:id="4"/>
            </w:r>
          </w:p>
        </w:tc>
        <w:tc>
          <w:tcPr>
            <w:tcW w:w="6318" w:type="dxa"/>
          </w:tcPr>
          <w:p w14:paraId="385D5F07" w14:textId="5B22A956" w:rsidR="008855FD" w:rsidRDefault="00305E55">
            <w:pPr>
              <w:spacing w:after="0" w:line="276" w:lineRule="auto"/>
              <w:jc w:val="both"/>
              <w:rPr>
                <w:rFonts w:ascii="Gill Sans" w:eastAsia="Gill Sans" w:hAnsi="Gill Sans" w:cs="Gill Sans"/>
              </w:rPr>
            </w:pPr>
            <w:r>
              <w:rPr>
                <w:rFonts w:ascii="Gill Sans" w:eastAsia="Gill Sans" w:hAnsi="Gill Sans" w:cs="Gill Sans"/>
              </w:rPr>
              <w:t xml:space="preserve">As the Tribunal Rules does not specifically make provision for the basis upon which an exception may be raised, the Tribunal relied on Tribunal Rule 28 to invoke Rules 23 and 18(4) of the Uniform Rules of Court. The Uniform Rules provide that every pleading must </w:t>
            </w:r>
            <w:r>
              <w:rPr>
                <w:rFonts w:ascii="Gill Sans" w:eastAsia="Gill Sans" w:hAnsi="Gill Sans" w:cs="Gill Sans"/>
              </w:rPr>
              <w:lastRenderedPageBreak/>
              <w:t xml:space="preserve">contain a clear and concise statement of the material facts upon which the pleader relies, and that any pleading that is vague and lacks averments which are necessary to sustain an action, may be opposed through an exception. The plaintiffs had set out what Zulu’s duties were at Eskom, detailed the large sums of monies received by Zulu from Commodity Logistics and </w:t>
            </w:r>
            <w:proofErr w:type="spellStart"/>
            <w:r>
              <w:rPr>
                <w:rFonts w:ascii="Gill Sans" w:eastAsia="Gill Sans" w:hAnsi="Gill Sans" w:cs="Gill Sans"/>
              </w:rPr>
              <w:t>Siba</w:t>
            </w:r>
            <w:proofErr w:type="spellEnd"/>
            <w:r>
              <w:rPr>
                <w:rFonts w:ascii="Gill Sans" w:eastAsia="Gill Sans" w:hAnsi="Gill Sans" w:cs="Gill Sans"/>
              </w:rPr>
              <w:t>, averments that Zulu was not entitled to receive these payments and that it breached his duties to Eskom. The Tribunal therefore found that the defendants had failed to show that on every interpretation of the pleading, a cause of action could not be established. The exceptions were dismissed as they did not dispose of the matter in whole or in part.</w:t>
            </w:r>
          </w:p>
        </w:tc>
      </w:tr>
      <w:tr w:rsidR="008855FD" w14:paraId="4E449142" w14:textId="77777777">
        <w:tc>
          <w:tcPr>
            <w:tcW w:w="2689" w:type="dxa"/>
          </w:tcPr>
          <w:p w14:paraId="11655EC7" w14:textId="77777777" w:rsidR="008855FD" w:rsidRDefault="009E2C83">
            <w:pPr>
              <w:spacing w:after="0" w:line="276" w:lineRule="auto"/>
              <w:jc w:val="both"/>
              <w:rPr>
                <w:rFonts w:ascii="Gill Sans" w:eastAsia="Gill Sans" w:hAnsi="Gill Sans" w:cs="Gill Sans"/>
              </w:rPr>
            </w:pPr>
            <w:r>
              <w:rPr>
                <w:rFonts w:ascii="Gill Sans" w:eastAsia="Gill Sans" w:hAnsi="Gill Sans" w:cs="Gill Sans"/>
              </w:rPr>
              <w:lastRenderedPageBreak/>
              <w:t>Reported by</w:t>
            </w:r>
          </w:p>
          <w:p w14:paraId="78F1A279" w14:textId="77777777" w:rsidR="008855FD" w:rsidRDefault="009E2C83">
            <w:pPr>
              <w:spacing w:after="0" w:line="276" w:lineRule="auto"/>
              <w:jc w:val="both"/>
              <w:rPr>
                <w:rFonts w:ascii="Gill Sans" w:eastAsia="Gill Sans" w:hAnsi="Gill Sans" w:cs="Gill Sans"/>
              </w:rPr>
            </w:pPr>
            <w:r>
              <w:rPr>
                <w:rFonts w:ascii="Gill Sans" w:eastAsia="Gill Sans" w:hAnsi="Gill Sans" w:cs="Gill Sans"/>
              </w:rPr>
              <w:t>Date</w:t>
            </w:r>
          </w:p>
        </w:tc>
        <w:tc>
          <w:tcPr>
            <w:tcW w:w="6318" w:type="dxa"/>
          </w:tcPr>
          <w:p w14:paraId="771C368E" w14:textId="77777777" w:rsidR="008855FD" w:rsidRDefault="009E2C83">
            <w:pPr>
              <w:spacing w:after="0" w:line="276" w:lineRule="auto"/>
              <w:jc w:val="both"/>
              <w:rPr>
                <w:rFonts w:ascii="Gill Sans" w:eastAsia="Gill Sans" w:hAnsi="Gill Sans" w:cs="Gill Sans"/>
              </w:rPr>
            </w:pPr>
            <w:r>
              <w:rPr>
                <w:rFonts w:ascii="Gill Sans" w:eastAsia="Gill Sans" w:hAnsi="Gill Sans" w:cs="Gill Sans"/>
              </w:rPr>
              <w:t>A</w:t>
            </w:r>
            <w:r>
              <w:rPr>
                <w:rFonts w:ascii="Gill Sans" w:eastAsia="Gill Sans" w:hAnsi="Gill Sans" w:cs="Gill Sans"/>
              </w:rPr>
              <w:t>frican Legal Information Institute (</w:t>
            </w:r>
            <w:proofErr w:type="spellStart"/>
            <w:r>
              <w:fldChar w:fldCharType="begin"/>
            </w:r>
            <w:r>
              <w:instrText xml:space="preserve"> HYPERLINK "https://africanlii.org/" \h </w:instrText>
            </w:r>
            <w:r>
              <w:fldChar w:fldCharType="separate"/>
            </w:r>
            <w:r>
              <w:rPr>
                <w:rFonts w:ascii="Gill Sans" w:eastAsia="Gill Sans" w:hAnsi="Gill Sans" w:cs="Gill Sans"/>
                <w:color w:val="1155CC"/>
                <w:u w:val="single"/>
              </w:rPr>
              <w:t>AfricanLII</w:t>
            </w:r>
            <w:proofErr w:type="spellEnd"/>
            <w:r>
              <w:rPr>
                <w:rFonts w:ascii="Gill Sans" w:eastAsia="Gill Sans" w:hAnsi="Gill Sans" w:cs="Gill Sans"/>
                <w:color w:val="1155CC"/>
                <w:u w:val="single"/>
              </w:rPr>
              <w:fldChar w:fldCharType="end"/>
            </w:r>
            <w:r>
              <w:rPr>
                <w:rFonts w:ascii="Gill Sans" w:eastAsia="Gill Sans" w:hAnsi="Gill Sans" w:cs="Gill Sans"/>
              </w:rPr>
              <w:t>)</w:t>
            </w:r>
          </w:p>
          <w:p w14:paraId="68F30646" w14:textId="1920CD47" w:rsidR="00B37220" w:rsidRDefault="00B37220">
            <w:pPr>
              <w:spacing w:after="0" w:line="276" w:lineRule="auto"/>
              <w:jc w:val="both"/>
              <w:rPr>
                <w:rFonts w:ascii="Gill Sans" w:eastAsia="Gill Sans" w:hAnsi="Gill Sans" w:cs="Gill Sans"/>
              </w:rPr>
            </w:pPr>
            <w:r>
              <w:rPr>
                <w:rFonts w:ascii="Gill Sans" w:eastAsia="Gill Sans" w:hAnsi="Gill Sans" w:cs="Gill Sans"/>
              </w:rPr>
              <w:t>13 November 2023</w:t>
            </w:r>
          </w:p>
        </w:tc>
      </w:tr>
    </w:tbl>
    <w:p w14:paraId="3785650C" w14:textId="77777777" w:rsidR="008855FD" w:rsidRDefault="008855FD">
      <w:pPr>
        <w:spacing w:after="0" w:line="276" w:lineRule="auto"/>
        <w:jc w:val="both"/>
        <w:rPr>
          <w:rFonts w:ascii="Gill Sans" w:eastAsia="Gill Sans" w:hAnsi="Gill Sans" w:cs="Gill Sans"/>
        </w:rPr>
      </w:pPr>
    </w:p>
    <w:p w14:paraId="13824F8F" w14:textId="77777777" w:rsidR="008855FD" w:rsidRDefault="008855FD">
      <w:pPr>
        <w:rPr>
          <w:rFonts w:ascii="Gill Sans" w:eastAsia="Gill Sans" w:hAnsi="Gill Sans" w:cs="Gill Sans"/>
        </w:rPr>
      </w:pPr>
    </w:p>
    <w:p w14:paraId="0932DE65" w14:textId="77777777" w:rsidR="008855FD" w:rsidRDefault="008855FD"/>
    <w:p w14:paraId="7F8A7A11" w14:textId="77777777" w:rsidR="008855FD" w:rsidRDefault="008855FD"/>
    <w:p w14:paraId="7E79D2E9" w14:textId="77777777" w:rsidR="008855FD" w:rsidRDefault="008855FD"/>
    <w:sectPr w:rsidR="008855FD">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777D4" w14:textId="77777777" w:rsidR="009E2C83" w:rsidRDefault="009E2C83">
      <w:pPr>
        <w:spacing w:after="0" w:line="240" w:lineRule="auto"/>
      </w:pPr>
      <w:r>
        <w:separator/>
      </w:r>
    </w:p>
  </w:endnote>
  <w:endnote w:type="continuationSeparator" w:id="0">
    <w:p w14:paraId="35988CFB" w14:textId="77777777" w:rsidR="009E2C83" w:rsidRDefault="009E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B1373" w14:textId="77777777" w:rsidR="009E2C83" w:rsidRDefault="009E2C83">
      <w:pPr>
        <w:spacing w:after="0" w:line="240" w:lineRule="auto"/>
      </w:pPr>
      <w:r>
        <w:separator/>
      </w:r>
    </w:p>
  </w:footnote>
  <w:footnote w:type="continuationSeparator" w:id="0">
    <w:p w14:paraId="059DB71A" w14:textId="77777777" w:rsidR="009E2C83" w:rsidRDefault="009E2C83">
      <w:pPr>
        <w:spacing w:after="0" w:line="240" w:lineRule="auto"/>
      </w:pPr>
      <w:r>
        <w:continuationSeparator/>
      </w:r>
    </w:p>
  </w:footnote>
  <w:footnote w:id="1">
    <w:p w14:paraId="3733AAEC" w14:textId="77777777" w:rsidR="008855FD" w:rsidRDefault="009E2C83">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Clarify the type of issues that come up in the case.</w:t>
      </w:r>
    </w:p>
  </w:footnote>
  <w:footnote w:id="2">
    <w:p w14:paraId="54310350" w14:textId="77777777" w:rsidR="008855FD" w:rsidRDefault="009E2C83">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Summary of the facts, the</w:t>
      </w:r>
      <w:r>
        <w:rPr>
          <w:rFonts w:ascii="Gill Sans" w:eastAsia="Gill Sans" w:hAnsi="Gill Sans" w:cs="Gill Sans"/>
          <w:sz w:val="20"/>
          <w:szCs w:val="20"/>
        </w:rPr>
        <w:t xml:space="preserve"> main</w:t>
      </w:r>
      <w:r>
        <w:rPr>
          <w:rFonts w:ascii="Gill Sans" w:eastAsia="Gill Sans" w:hAnsi="Gill Sans" w:cs="Gill Sans"/>
          <w:color w:val="000000"/>
          <w:sz w:val="20"/>
          <w:szCs w:val="20"/>
        </w:rPr>
        <w:t xml:space="preserve"> legal questions and/or grounds of appeal, and the court</w:t>
      </w:r>
      <w:r>
        <w:rPr>
          <w:rFonts w:ascii="Gill Sans" w:eastAsia="Gill Sans" w:hAnsi="Gill Sans" w:cs="Gill Sans"/>
          <w:sz w:val="20"/>
          <w:szCs w:val="20"/>
        </w:rPr>
        <w:t>’s reasoning</w:t>
      </w:r>
      <w:r>
        <w:rPr>
          <w:rFonts w:ascii="Gill Sans" w:eastAsia="Gill Sans" w:hAnsi="Gill Sans" w:cs="Gill Sans"/>
          <w:color w:val="000000"/>
          <w:sz w:val="20"/>
          <w:szCs w:val="20"/>
        </w:rPr>
        <w:t xml:space="preserve"> (between 150-250 words).</w:t>
      </w:r>
    </w:p>
  </w:footnote>
  <w:footnote w:id="3">
    <w:p w14:paraId="7758FD42" w14:textId="77777777" w:rsidR="008855FD" w:rsidRDefault="009E2C83">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The ruling/judgment of the court, as given in the Order.</w:t>
      </w:r>
    </w:p>
  </w:footnote>
  <w:footnote w:id="4">
    <w:p w14:paraId="2BF8CE14" w14:textId="77777777" w:rsidR="008855FD" w:rsidRDefault="009E2C83">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A 1-2 sentence summary of the basis of the decision (i.e. which legal </w:t>
      </w:r>
      <w:r>
        <w:rPr>
          <w:rFonts w:ascii="Gill Sans" w:eastAsia="Gill Sans" w:hAnsi="Gill Sans" w:cs="Gill Sans"/>
          <w:color w:val="000000"/>
          <w:sz w:val="20"/>
          <w:szCs w:val="20"/>
        </w:rPr>
        <w:t>rules were relied 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FD"/>
    <w:rsid w:val="00305E55"/>
    <w:rsid w:val="006F393D"/>
    <w:rsid w:val="008855FD"/>
    <w:rsid w:val="009E2C83"/>
    <w:rsid w:val="009E4BF6"/>
    <w:rsid w:val="00A57BA4"/>
    <w:rsid w:val="00B37220"/>
    <w:rsid w:val="00C1193A"/>
    <w:rsid w:val="00F87A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59D3"/>
  <w15:docId w15:val="{51A68790-16EC-4317-B977-C4418A13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B37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brary.org.za/akn/za/judgment/zast/2023/15/eng@2023-11-13"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Wekl8BB32RR3n/7yarb02viuZQ==">AMUW2mUoDUtCTotUaJ6n8qjg7bgHlp6ItaJ3nvKI0FfsuDNbPH0aAAnkA29aoaPTA1pgk2dXhAi6jjzERZY5NOjU0ePkhtiRr5ntfBVGp7qnUYLE5GtX7BFqJ0lpA8ULouCe7NidTpt+ZilKAUG81vruKa4PK/gSMw==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Nyehita</dc:creator>
  <cp:lastModifiedBy>Mary Bruce</cp:lastModifiedBy>
  <cp:revision>2</cp:revision>
  <dcterms:created xsi:type="dcterms:W3CDTF">2024-01-08T10:17:00Z</dcterms:created>
  <dcterms:modified xsi:type="dcterms:W3CDTF">2024-01-08T10:17:00Z</dcterms:modified>
</cp:coreProperties>
</file>