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E4F8F" w14:textId="77777777" w:rsidR="00366E11" w:rsidRPr="00366E11" w:rsidRDefault="00366E11" w:rsidP="00366E11">
      <w:pPr>
        <w:spacing w:after="0" w:line="240" w:lineRule="auto"/>
        <w:jc w:val="center"/>
        <w:outlineLvl w:val="0"/>
        <w:rPr>
          <w:rFonts w:ascii="Arial" w:hAnsi="Arial"/>
          <w:noProof/>
          <w:kern w:val="0"/>
          <w:sz w:val="24"/>
          <w:lang w:eastAsia="en-ZA"/>
          <w14:ligatures w14:val="none"/>
        </w:rPr>
      </w:pPr>
      <w:bookmarkStart w:id="0" w:name="_GoBack"/>
      <w:bookmarkEnd w:id="0"/>
      <w:r w:rsidRPr="00366E11">
        <w:rPr>
          <w:rFonts w:ascii="Arial" w:hAnsi="Arial"/>
          <w:noProof/>
          <w:kern w:val="0"/>
          <w:sz w:val="24"/>
          <w:lang w:eastAsia="en-ZA"/>
          <w14:ligatures w14:val="none"/>
        </w:rPr>
        <w:drawing>
          <wp:inline distT="0" distB="0" distL="0" distR="0" wp14:anchorId="75F73EEC" wp14:editId="2935E8CF">
            <wp:extent cx="1326515" cy="1356076"/>
            <wp:effectExtent l="0" t="0" r="6985" b="0"/>
            <wp:docPr id="3" name="Picture 3" descr="A logo of the judicial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the judicial syste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6011" cy="1365784"/>
                    </a:xfrm>
                    <a:prstGeom prst="rect">
                      <a:avLst/>
                    </a:prstGeom>
                  </pic:spPr>
                </pic:pic>
              </a:graphicData>
            </a:graphic>
          </wp:inline>
        </w:drawing>
      </w:r>
    </w:p>
    <w:p w14:paraId="725EF3BE" w14:textId="77777777" w:rsidR="00366E11" w:rsidRPr="00366E11" w:rsidRDefault="00366E11" w:rsidP="00366E11">
      <w:pPr>
        <w:spacing w:after="0" w:line="240" w:lineRule="auto"/>
        <w:jc w:val="center"/>
        <w:outlineLvl w:val="0"/>
        <w:rPr>
          <w:rFonts w:ascii="Arial" w:hAnsi="Arial"/>
          <w:b/>
          <w:bCs/>
          <w:noProof/>
          <w:kern w:val="0"/>
          <w:sz w:val="24"/>
          <w:lang w:eastAsia="en-ZA"/>
          <w14:ligatures w14:val="none"/>
        </w:rPr>
      </w:pPr>
      <w:r w:rsidRPr="00366E11">
        <w:rPr>
          <w:rFonts w:ascii="Arial" w:hAnsi="Arial"/>
          <w:b/>
          <w:bCs/>
          <w:noProof/>
          <w:kern w:val="0"/>
          <w:sz w:val="24"/>
          <w:lang w:eastAsia="en-ZA"/>
          <w14:ligatures w14:val="none"/>
        </w:rPr>
        <w:t>IN THE HIGH COURT OF SOUTH AFRICA</w:t>
      </w:r>
    </w:p>
    <w:p w14:paraId="3FB9B536" w14:textId="77777777" w:rsidR="00366E11" w:rsidRPr="00366E11" w:rsidRDefault="00366E11" w:rsidP="00366E11">
      <w:pPr>
        <w:spacing w:after="0" w:line="240" w:lineRule="auto"/>
        <w:jc w:val="center"/>
        <w:outlineLvl w:val="0"/>
        <w:rPr>
          <w:rFonts w:ascii="Arial" w:hAnsi="Arial"/>
          <w:b/>
          <w:bCs/>
          <w:noProof/>
          <w:kern w:val="0"/>
          <w:sz w:val="24"/>
          <w:lang w:eastAsia="en-ZA"/>
          <w14:ligatures w14:val="none"/>
        </w:rPr>
      </w:pPr>
      <w:r w:rsidRPr="00366E11">
        <w:rPr>
          <w:rFonts w:ascii="Arial" w:hAnsi="Arial"/>
          <w:b/>
          <w:bCs/>
          <w:noProof/>
          <w:kern w:val="0"/>
          <w:sz w:val="24"/>
          <w:lang w:eastAsia="en-ZA"/>
          <w14:ligatures w14:val="none"/>
        </w:rPr>
        <w:t>GAUTENG LOCAL DIVISION, JOHANNESBURG</w:t>
      </w:r>
    </w:p>
    <w:p w14:paraId="2A443A2D" w14:textId="6AF221EC" w:rsidR="00366E11" w:rsidRDefault="00366E11" w:rsidP="00366E11">
      <w:pPr>
        <w:tabs>
          <w:tab w:val="right" w:pos="9029"/>
        </w:tabs>
        <w:spacing w:after="0" w:line="240" w:lineRule="auto"/>
        <w:contextualSpacing/>
        <w:jc w:val="both"/>
        <w:rPr>
          <w:rFonts w:ascii="Arial" w:eastAsia="Times New Roman" w:hAnsi="Arial" w:cs="Times New Roman"/>
          <w:b/>
          <w:kern w:val="28"/>
          <w:sz w:val="24"/>
          <w:szCs w:val="24"/>
          <w:lang w:val="en-GB" w:eastAsia="en-GB"/>
          <w14:ligatures w14:val="none"/>
        </w:rPr>
      </w:pPr>
    </w:p>
    <w:p w14:paraId="186ACE58" w14:textId="4FBD0A85" w:rsidR="008B5F04" w:rsidRPr="008B5F04" w:rsidRDefault="008B5F04" w:rsidP="008B5F04">
      <w:pPr>
        <w:jc w:val="right"/>
        <w:rPr>
          <w:rFonts w:ascii="Arial" w:hAnsi="Arial" w:cs="Arial"/>
          <w:sz w:val="24"/>
          <w:szCs w:val="24"/>
        </w:rPr>
      </w:pPr>
      <w:r w:rsidRPr="008B5F04">
        <w:rPr>
          <w:rFonts w:ascii="Arial" w:eastAsia="Times New Roman" w:hAnsi="Arial" w:cs="Arial"/>
          <w:bCs/>
          <w:sz w:val="24"/>
          <w:szCs w:val="28"/>
        </w:rPr>
        <w:t xml:space="preserve">Case Number: </w:t>
      </w:r>
      <w:r w:rsidRPr="008B5F04">
        <w:rPr>
          <w:rFonts w:ascii="Arial" w:hAnsi="Arial" w:cs="Arial"/>
          <w:bCs/>
          <w:sz w:val="24"/>
          <w:szCs w:val="24"/>
        </w:rPr>
        <w:t>202</w:t>
      </w:r>
      <w:r>
        <w:rPr>
          <w:rFonts w:ascii="Arial" w:hAnsi="Arial" w:cs="Arial"/>
          <w:bCs/>
          <w:sz w:val="24"/>
          <w:szCs w:val="24"/>
        </w:rPr>
        <w:t>2/5554</w:t>
      </w:r>
    </w:p>
    <w:p w14:paraId="660C407C" w14:textId="547ABAF1" w:rsidR="008B5F04" w:rsidRPr="00366E11" w:rsidRDefault="008B5F04" w:rsidP="00366E11">
      <w:pPr>
        <w:tabs>
          <w:tab w:val="right" w:pos="9029"/>
        </w:tabs>
        <w:spacing w:after="0" w:line="240" w:lineRule="auto"/>
        <w:contextualSpacing/>
        <w:jc w:val="both"/>
        <w:rPr>
          <w:rFonts w:ascii="Arial" w:eastAsia="Times New Roman" w:hAnsi="Arial" w:cs="Times New Roman"/>
          <w:b/>
          <w:kern w:val="28"/>
          <w:sz w:val="24"/>
          <w:szCs w:val="24"/>
          <w:lang w:val="en-GB" w:eastAsia="en-GB"/>
          <w14:ligatures w14:val="none"/>
        </w:rPr>
      </w:pPr>
    </w:p>
    <w:p w14:paraId="6CF5CF49" w14:textId="77777777" w:rsidR="008B5F04" w:rsidRDefault="008B5F04" w:rsidP="008B5F04">
      <w:pPr>
        <w:tabs>
          <w:tab w:val="right" w:pos="9029"/>
        </w:tabs>
        <w:spacing w:after="0" w:line="240" w:lineRule="auto"/>
        <w:contextualSpacing/>
        <w:jc w:val="center"/>
        <w:rPr>
          <w:rFonts w:ascii="Arial" w:eastAsia="Times New Roman" w:hAnsi="Arial" w:cs="Times New Roman"/>
          <w:b/>
          <w:i/>
          <w:iCs/>
          <w:kern w:val="28"/>
          <w:sz w:val="24"/>
          <w:szCs w:val="24"/>
          <w:lang w:val="en-GB" w:eastAsia="en-GB"/>
          <w14:ligatures w14:val="none"/>
        </w:rPr>
      </w:pPr>
    </w:p>
    <w:p w14:paraId="7F98BEA4" w14:textId="1230F627" w:rsidR="008B5F04" w:rsidRDefault="008B5F04" w:rsidP="00156482">
      <w:pPr>
        <w:tabs>
          <w:tab w:val="right" w:pos="9029"/>
        </w:tabs>
        <w:spacing w:after="0" w:line="240" w:lineRule="auto"/>
        <w:contextualSpacing/>
        <w:jc w:val="center"/>
        <w:rPr>
          <w:rFonts w:ascii="Arial" w:eastAsia="Times New Roman" w:hAnsi="Arial" w:cs="Times New Roman"/>
          <w:b/>
          <w:i/>
          <w:iCs/>
          <w:kern w:val="28"/>
          <w:sz w:val="24"/>
          <w:szCs w:val="24"/>
          <w:lang w:val="en-GB" w:eastAsia="en-GB"/>
          <w14:ligatures w14:val="none"/>
        </w:rPr>
      </w:pPr>
      <w:r w:rsidRPr="00366E11">
        <w:rPr>
          <w:rFonts w:ascii="Arial" w:eastAsia="Times New Roman" w:hAnsi="Arial" w:cs="Times New Roman"/>
          <w:b/>
          <w:i/>
          <w:iCs/>
          <w:kern w:val="28"/>
          <w:sz w:val="24"/>
          <w:szCs w:val="24"/>
          <w:lang w:val="en-GB" w:eastAsia="en-GB"/>
          <w14:ligatures w14:val="none"/>
        </w:rPr>
        <w:t>ABSA BANK LIMITED v 93 QUARTZ STREET HILLBROW CC</w:t>
      </w:r>
    </w:p>
    <w:p w14:paraId="1A5820BE" w14:textId="77777777" w:rsidR="00366E11" w:rsidRPr="007B7F59" w:rsidRDefault="00366E11" w:rsidP="00366E11">
      <w:pPr>
        <w:pBdr>
          <w:bottom w:val="single" w:sz="12" w:space="1" w:color="auto"/>
        </w:pBdr>
        <w:spacing w:after="0" w:line="240" w:lineRule="auto"/>
        <w:rPr>
          <w:rFonts w:cs="Arial"/>
          <w:b/>
          <w:szCs w:val="24"/>
        </w:rPr>
      </w:pPr>
    </w:p>
    <w:p w14:paraId="41ECDF0B" w14:textId="77777777" w:rsidR="00366E11" w:rsidRPr="007B7F59" w:rsidRDefault="00366E11" w:rsidP="00366E11">
      <w:pPr>
        <w:spacing w:after="0" w:line="240" w:lineRule="auto"/>
        <w:ind w:left="1440" w:hanging="1440"/>
        <w:rPr>
          <w:rFonts w:cs="Arial"/>
          <w:b/>
          <w:szCs w:val="24"/>
        </w:rPr>
      </w:pPr>
    </w:p>
    <w:p w14:paraId="37358C2A" w14:textId="7BCE6B33" w:rsidR="00366E11" w:rsidRPr="00366E11" w:rsidRDefault="00366E11" w:rsidP="00366E11">
      <w:pPr>
        <w:pBdr>
          <w:bottom w:val="single" w:sz="12" w:space="1" w:color="auto"/>
        </w:pBdr>
        <w:spacing w:after="240" w:line="480" w:lineRule="auto"/>
        <w:jc w:val="center"/>
        <w:rPr>
          <w:rFonts w:ascii="Arial" w:hAnsi="Arial" w:cs="Arial"/>
          <w:b/>
          <w:kern w:val="0"/>
          <w:sz w:val="24"/>
          <w:szCs w:val="24"/>
          <w14:ligatures w14:val="none"/>
        </w:rPr>
      </w:pPr>
      <w:r>
        <w:rPr>
          <w:rFonts w:ascii="Arial" w:hAnsi="Arial" w:cs="Arial"/>
          <w:b/>
          <w:kern w:val="0"/>
          <w:sz w:val="24"/>
          <w:szCs w:val="24"/>
          <w14:ligatures w14:val="none"/>
        </w:rPr>
        <w:t>SUMMARY</w:t>
      </w:r>
    </w:p>
    <w:p w14:paraId="292BB545" w14:textId="77777777" w:rsidR="00156482" w:rsidRDefault="00156482" w:rsidP="00996345">
      <w:pPr>
        <w:spacing w:line="360" w:lineRule="auto"/>
        <w:jc w:val="both"/>
        <w:rPr>
          <w:rFonts w:ascii="Times New Roman" w:hAnsi="Times New Roman" w:cs="Times New Roman"/>
          <w:sz w:val="24"/>
          <w:szCs w:val="24"/>
        </w:rPr>
      </w:pPr>
    </w:p>
    <w:p w14:paraId="3F8FEA47" w14:textId="77777777" w:rsidR="00084F6E" w:rsidRDefault="008A0B5B" w:rsidP="00996345">
      <w:pPr>
        <w:spacing w:line="360" w:lineRule="auto"/>
        <w:jc w:val="both"/>
        <w:rPr>
          <w:rFonts w:ascii="Arial" w:hAnsi="Arial" w:cs="Arial"/>
          <w:sz w:val="24"/>
          <w:szCs w:val="24"/>
        </w:rPr>
      </w:pPr>
      <w:r w:rsidRPr="00156482">
        <w:rPr>
          <w:rFonts w:ascii="Arial" w:hAnsi="Arial" w:cs="Arial"/>
          <w:sz w:val="24"/>
          <w:szCs w:val="24"/>
        </w:rPr>
        <w:t xml:space="preserve">The applicant bank sought the </w:t>
      </w:r>
      <w:r w:rsidR="00B151DF" w:rsidRPr="00156482">
        <w:rPr>
          <w:rFonts w:ascii="Arial" w:hAnsi="Arial" w:cs="Arial"/>
          <w:sz w:val="24"/>
          <w:szCs w:val="24"/>
        </w:rPr>
        <w:t xml:space="preserve">final </w:t>
      </w:r>
      <w:r w:rsidRPr="00156482">
        <w:rPr>
          <w:rFonts w:ascii="Arial" w:hAnsi="Arial" w:cs="Arial"/>
          <w:sz w:val="24"/>
          <w:szCs w:val="24"/>
        </w:rPr>
        <w:t xml:space="preserve">winding-up of the respondent close corporation in terms of </w:t>
      </w:r>
      <w:r w:rsidR="002A06D1" w:rsidRPr="00156482">
        <w:rPr>
          <w:rFonts w:ascii="Arial" w:hAnsi="Arial" w:cs="Arial"/>
          <w:sz w:val="24"/>
          <w:szCs w:val="24"/>
        </w:rPr>
        <w:t xml:space="preserve">the repealed </w:t>
      </w:r>
      <w:r w:rsidRPr="00156482">
        <w:rPr>
          <w:rFonts w:ascii="Arial" w:hAnsi="Arial" w:cs="Arial"/>
          <w:sz w:val="24"/>
          <w:szCs w:val="24"/>
        </w:rPr>
        <w:t>section 6</w:t>
      </w:r>
      <w:r w:rsidR="002A06D1" w:rsidRPr="00156482">
        <w:rPr>
          <w:rFonts w:ascii="Arial" w:hAnsi="Arial" w:cs="Arial"/>
          <w:sz w:val="24"/>
          <w:szCs w:val="24"/>
        </w:rPr>
        <w:t>8</w:t>
      </w:r>
      <w:r w:rsidRPr="00156482">
        <w:rPr>
          <w:rFonts w:ascii="Arial" w:hAnsi="Arial" w:cs="Arial"/>
          <w:sz w:val="24"/>
          <w:szCs w:val="24"/>
        </w:rPr>
        <w:t>(</w:t>
      </w:r>
      <w:r w:rsidR="002A06D1" w:rsidRPr="00156482">
        <w:rPr>
          <w:rFonts w:ascii="Arial" w:hAnsi="Arial" w:cs="Arial"/>
          <w:sz w:val="24"/>
          <w:szCs w:val="24"/>
        </w:rPr>
        <w:t>c</w:t>
      </w:r>
      <w:r w:rsidRPr="00156482">
        <w:rPr>
          <w:rFonts w:ascii="Arial" w:hAnsi="Arial" w:cs="Arial"/>
          <w:sz w:val="24"/>
          <w:szCs w:val="24"/>
        </w:rPr>
        <w:t>)</w:t>
      </w:r>
      <w:r w:rsidR="002A06D1" w:rsidRPr="00156482">
        <w:rPr>
          <w:rFonts w:ascii="Arial" w:hAnsi="Arial" w:cs="Arial"/>
          <w:sz w:val="24"/>
          <w:szCs w:val="24"/>
        </w:rPr>
        <w:t xml:space="preserve"> and</w:t>
      </w:r>
      <w:r w:rsidRPr="00156482">
        <w:rPr>
          <w:rFonts w:ascii="Arial" w:hAnsi="Arial" w:cs="Arial"/>
          <w:sz w:val="24"/>
          <w:szCs w:val="24"/>
        </w:rPr>
        <w:t xml:space="preserve"> (</w:t>
      </w:r>
      <w:r w:rsidR="002A06D1" w:rsidRPr="00156482">
        <w:rPr>
          <w:rFonts w:ascii="Arial" w:hAnsi="Arial" w:cs="Arial"/>
          <w:sz w:val="24"/>
          <w:szCs w:val="24"/>
        </w:rPr>
        <w:t>d</w:t>
      </w:r>
      <w:r w:rsidRPr="00156482">
        <w:rPr>
          <w:rFonts w:ascii="Arial" w:hAnsi="Arial" w:cs="Arial"/>
          <w:sz w:val="24"/>
          <w:szCs w:val="24"/>
        </w:rPr>
        <w:t>)</w:t>
      </w:r>
      <w:r w:rsidR="002A06D1" w:rsidRPr="00156482">
        <w:rPr>
          <w:rFonts w:ascii="Arial" w:hAnsi="Arial" w:cs="Arial"/>
          <w:sz w:val="24"/>
          <w:szCs w:val="24"/>
        </w:rPr>
        <w:t xml:space="preserve"> read with </w:t>
      </w:r>
      <w:r w:rsidR="00B151DF" w:rsidRPr="00156482">
        <w:rPr>
          <w:rFonts w:ascii="Arial" w:hAnsi="Arial" w:cs="Arial"/>
          <w:sz w:val="24"/>
          <w:szCs w:val="24"/>
        </w:rPr>
        <w:t>69(1)(a)</w:t>
      </w:r>
      <w:r w:rsidRPr="00156482">
        <w:rPr>
          <w:rFonts w:ascii="Arial" w:hAnsi="Arial" w:cs="Arial"/>
          <w:sz w:val="24"/>
          <w:szCs w:val="24"/>
        </w:rPr>
        <w:t xml:space="preserve"> of the Close Corporation Act 69 of 1984</w:t>
      </w:r>
      <w:r w:rsidR="00E045E3" w:rsidRPr="00156482">
        <w:rPr>
          <w:rFonts w:ascii="Arial" w:hAnsi="Arial" w:cs="Arial"/>
          <w:sz w:val="24"/>
          <w:szCs w:val="24"/>
        </w:rPr>
        <w:t xml:space="preserve"> (CC Act)</w:t>
      </w:r>
      <w:r w:rsidRPr="00156482">
        <w:rPr>
          <w:rFonts w:ascii="Arial" w:hAnsi="Arial" w:cs="Arial"/>
          <w:sz w:val="24"/>
          <w:szCs w:val="24"/>
        </w:rPr>
        <w:t xml:space="preserve"> </w:t>
      </w:r>
      <w:r w:rsidR="00D7716F" w:rsidRPr="00156482">
        <w:rPr>
          <w:rFonts w:ascii="Arial" w:hAnsi="Arial" w:cs="Arial"/>
          <w:sz w:val="24"/>
          <w:szCs w:val="24"/>
        </w:rPr>
        <w:t xml:space="preserve">on the grounds that the respondent </w:t>
      </w:r>
      <w:r w:rsidRPr="00156482">
        <w:rPr>
          <w:rFonts w:ascii="Arial" w:hAnsi="Arial" w:cs="Arial"/>
          <w:sz w:val="24"/>
          <w:szCs w:val="24"/>
        </w:rPr>
        <w:t xml:space="preserve">was </w:t>
      </w:r>
      <w:r w:rsidR="00156482">
        <w:rPr>
          <w:rFonts w:ascii="Arial" w:hAnsi="Arial" w:cs="Arial"/>
          <w:sz w:val="24"/>
          <w:szCs w:val="24"/>
        </w:rPr>
        <w:t>‘</w:t>
      </w:r>
      <w:r w:rsidRPr="00156482">
        <w:rPr>
          <w:rFonts w:ascii="Arial" w:hAnsi="Arial" w:cs="Arial"/>
          <w:sz w:val="24"/>
          <w:szCs w:val="24"/>
        </w:rPr>
        <w:t>unable to pay its debts</w:t>
      </w:r>
      <w:r w:rsidR="00156482">
        <w:rPr>
          <w:rFonts w:ascii="Arial" w:hAnsi="Arial" w:cs="Arial"/>
          <w:sz w:val="24"/>
          <w:szCs w:val="24"/>
        </w:rPr>
        <w:t>’</w:t>
      </w:r>
      <w:r w:rsidR="000655E9" w:rsidRPr="00156482">
        <w:rPr>
          <w:rFonts w:ascii="Arial" w:hAnsi="Arial" w:cs="Arial"/>
          <w:sz w:val="24"/>
          <w:szCs w:val="24"/>
        </w:rPr>
        <w:t xml:space="preserve">, as it </w:t>
      </w:r>
      <w:r w:rsidR="00C05954" w:rsidRPr="00156482">
        <w:rPr>
          <w:rFonts w:ascii="Arial" w:hAnsi="Arial" w:cs="Arial"/>
          <w:sz w:val="24"/>
          <w:szCs w:val="24"/>
        </w:rPr>
        <w:t>failed to make payment of the outstanding indebtedness owed to the applicant</w:t>
      </w:r>
      <w:r w:rsidR="00156482">
        <w:rPr>
          <w:rFonts w:ascii="Arial" w:hAnsi="Arial" w:cs="Arial"/>
          <w:sz w:val="24"/>
          <w:szCs w:val="24"/>
        </w:rPr>
        <w:t xml:space="preserve">. </w:t>
      </w:r>
    </w:p>
    <w:p w14:paraId="419FE9C8" w14:textId="19944A03" w:rsidR="00084F6E" w:rsidRDefault="00084F6E" w:rsidP="00996345">
      <w:pPr>
        <w:spacing w:line="360" w:lineRule="auto"/>
        <w:jc w:val="both"/>
        <w:rPr>
          <w:rFonts w:ascii="Arial" w:hAnsi="Arial" w:cs="Arial"/>
          <w:sz w:val="24"/>
          <w:szCs w:val="24"/>
        </w:rPr>
      </w:pPr>
      <w:r>
        <w:rPr>
          <w:rFonts w:ascii="Arial" w:hAnsi="Arial" w:cs="Arial"/>
          <w:sz w:val="24"/>
          <w:szCs w:val="24"/>
        </w:rPr>
        <w:t xml:space="preserve">An affected party also brought an application to intervene in terms of section 131 of the Companies Act 71 of 2008 but sought a postponement of the liquidation proceedings. </w:t>
      </w:r>
    </w:p>
    <w:p w14:paraId="6BF6F293" w14:textId="77777777" w:rsidR="00084F6E" w:rsidRDefault="000655E9" w:rsidP="00996345">
      <w:pPr>
        <w:spacing w:line="360" w:lineRule="auto"/>
        <w:jc w:val="both"/>
        <w:rPr>
          <w:rFonts w:ascii="Arial" w:hAnsi="Arial" w:cs="Arial"/>
          <w:sz w:val="24"/>
          <w:szCs w:val="24"/>
        </w:rPr>
      </w:pPr>
      <w:r w:rsidRPr="00156482">
        <w:rPr>
          <w:rFonts w:ascii="Arial" w:hAnsi="Arial" w:cs="Arial"/>
          <w:sz w:val="24"/>
          <w:szCs w:val="24"/>
        </w:rPr>
        <w:t xml:space="preserve">The respondent disputed the quantum of its indebtedness or that it was </w:t>
      </w:r>
      <w:r w:rsidR="00084F6E" w:rsidRPr="00156482">
        <w:rPr>
          <w:rFonts w:ascii="Arial" w:hAnsi="Arial" w:cs="Arial"/>
          <w:sz w:val="24"/>
          <w:szCs w:val="24"/>
        </w:rPr>
        <w:t>insolvent and</w:t>
      </w:r>
      <w:r w:rsidRPr="00156482">
        <w:rPr>
          <w:rFonts w:ascii="Arial" w:hAnsi="Arial" w:cs="Arial"/>
          <w:sz w:val="24"/>
          <w:szCs w:val="24"/>
        </w:rPr>
        <w:t xml:space="preserve"> challenged the basis </w:t>
      </w:r>
      <w:r w:rsidR="00996345" w:rsidRPr="00156482">
        <w:rPr>
          <w:rFonts w:ascii="Arial" w:hAnsi="Arial" w:cs="Arial"/>
          <w:sz w:val="24"/>
          <w:szCs w:val="24"/>
        </w:rPr>
        <w:t>of</w:t>
      </w:r>
      <w:r w:rsidRPr="00156482">
        <w:rPr>
          <w:rFonts w:ascii="Arial" w:hAnsi="Arial" w:cs="Arial"/>
          <w:sz w:val="24"/>
          <w:szCs w:val="24"/>
        </w:rPr>
        <w:t xml:space="preserve"> the application on the grounds that the applicant</w:t>
      </w:r>
      <w:r w:rsidR="00996345" w:rsidRPr="00156482">
        <w:rPr>
          <w:rFonts w:ascii="Arial" w:hAnsi="Arial" w:cs="Arial"/>
          <w:sz w:val="24"/>
          <w:szCs w:val="24"/>
        </w:rPr>
        <w:t xml:space="preserve"> failed to plead the correct source of the court's competence and jurisdiction to liquidate</w:t>
      </w:r>
      <w:r w:rsidR="00084F6E">
        <w:rPr>
          <w:rFonts w:ascii="Arial" w:hAnsi="Arial" w:cs="Arial"/>
          <w:sz w:val="24"/>
          <w:szCs w:val="24"/>
        </w:rPr>
        <w:t xml:space="preserve"> it</w:t>
      </w:r>
      <w:r w:rsidR="00B23274" w:rsidRPr="00156482">
        <w:rPr>
          <w:rFonts w:ascii="Arial" w:hAnsi="Arial" w:cs="Arial"/>
          <w:sz w:val="24"/>
          <w:szCs w:val="24"/>
        </w:rPr>
        <w:t>. It argued that</w:t>
      </w:r>
      <w:r w:rsidRPr="00156482">
        <w:rPr>
          <w:rFonts w:ascii="Arial" w:hAnsi="Arial" w:cs="Arial"/>
          <w:sz w:val="24"/>
          <w:szCs w:val="24"/>
        </w:rPr>
        <w:t xml:space="preserve"> the applicant did not plead reliance on section 66 of the Close Corporations Act nor any of the applicable provisions, namely: section 344, and section 345 of the Companies Act 61 of 1973.</w:t>
      </w:r>
      <w:r w:rsidR="004D6B6D" w:rsidRPr="00156482">
        <w:rPr>
          <w:rFonts w:ascii="Arial" w:hAnsi="Arial" w:cs="Arial"/>
          <w:sz w:val="24"/>
          <w:szCs w:val="24"/>
        </w:rPr>
        <w:t xml:space="preserve"> </w:t>
      </w:r>
    </w:p>
    <w:p w14:paraId="352DB7B4" w14:textId="519D9BEF" w:rsidR="00996345" w:rsidRPr="00156482" w:rsidRDefault="004D6B6D" w:rsidP="00996345">
      <w:pPr>
        <w:spacing w:line="360" w:lineRule="auto"/>
        <w:jc w:val="both"/>
        <w:rPr>
          <w:rFonts w:ascii="Arial" w:hAnsi="Arial" w:cs="Arial"/>
          <w:sz w:val="24"/>
          <w:szCs w:val="24"/>
        </w:rPr>
      </w:pPr>
      <w:r w:rsidRPr="00156482">
        <w:rPr>
          <w:rFonts w:ascii="Arial" w:hAnsi="Arial" w:cs="Arial"/>
          <w:sz w:val="24"/>
          <w:szCs w:val="24"/>
        </w:rPr>
        <w:t xml:space="preserve">The applicant </w:t>
      </w:r>
      <w:r w:rsidR="00996345" w:rsidRPr="00156482">
        <w:rPr>
          <w:rFonts w:ascii="Arial" w:hAnsi="Arial" w:cs="Arial"/>
          <w:sz w:val="24"/>
          <w:szCs w:val="24"/>
        </w:rPr>
        <w:t xml:space="preserve">contended </w:t>
      </w:r>
      <w:r w:rsidR="00084F6E">
        <w:rPr>
          <w:rFonts w:ascii="Arial" w:hAnsi="Arial" w:cs="Arial"/>
          <w:sz w:val="24"/>
          <w:szCs w:val="24"/>
        </w:rPr>
        <w:t xml:space="preserve">on the other hand </w:t>
      </w:r>
      <w:r w:rsidRPr="00156482">
        <w:rPr>
          <w:rFonts w:ascii="Arial" w:hAnsi="Arial" w:cs="Arial"/>
          <w:sz w:val="24"/>
          <w:szCs w:val="24"/>
        </w:rPr>
        <w:t>that courts</w:t>
      </w:r>
      <w:r w:rsidR="00996345" w:rsidRPr="00156482">
        <w:rPr>
          <w:rFonts w:ascii="Arial" w:hAnsi="Arial" w:cs="Arial"/>
          <w:sz w:val="24"/>
          <w:szCs w:val="24"/>
        </w:rPr>
        <w:t xml:space="preserve"> have taken a unanimous view </w:t>
      </w:r>
      <w:r w:rsidRPr="00156482">
        <w:rPr>
          <w:rFonts w:ascii="Arial" w:hAnsi="Arial" w:cs="Arial"/>
          <w:sz w:val="24"/>
          <w:szCs w:val="24"/>
        </w:rPr>
        <w:t xml:space="preserve">in </w:t>
      </w:r>
      <w:r w:rsidR="00996345" w:rsidRPr="00156482">
        <w:rPr>
          <w:rFonts w:ascii="Arial" w:hAnsi="Arial" w:cs="Arial"/>
          <w:sz w:val="24"/>
          <w:szCs w:val="24"/>
        </w:rPr>
        <w:t xml:space="preserve">allowing reliance on section 69(1)(a). It also </w:t>
      </w:r>
      <w:r w:rsidRPr="00156482">
        <w:rPr>
          <w:rFonts w:ascii="Arial" w:hAnsi="Arial" w:cs="Arial"/>
          <w:sz w:val="24"/>
          <w:szCs w:val="24"/>
        </w:rPr>
        <w:t xml:space="preserve">sought to </w:t>
      </w:r>
      <w:r w:rsidR="00996345" w:rsidRPr="00156482">
        <w:rPr>
          <w:rFonts w:ascii="Arial" w:hAnsi="Arial" w:cs="Arial"/>
          <w:sz w:val="24"/>
          <w:szCs w:val="24"/>
        </w:rPr>
        <w:t>fall</w:t>
      </w:r>
      <w:r w:rsidRPr="00156482">
        <w:rPr>
          <w:rFonts w:ascii="Arial" w:hAnsi="Arial" w:cs="Arial"/>
          <w:sz w:val="24"/>
          <w:szCs w:val="24"/>
        </w:rPr>
        <w:t>-</w:t>
      </w:r>
      <w:r w:rsidR="00996345" w:rsidRPr="00156482">
        <w:rPr>
          <w:rFonts w:ascii="Arial" w:hAnsi="Arial" w:cs="Arial"/>
          <w:sz w:val="24"/>
          <w:szCs w:val="24"/>
        </w:rPr>
        <w:t xml:space="preserve">back on the Insolvency </w:t>
      </w:r>
      <w:r w:rsidR="00996345" w:rsidRPr="00156482">
        <w:rPr>
          <w:rFonts w:ascii="Arial" w:hAnsi="Arial" w:cs="Arial"/>
          <w:sz w:val="24"/>
          <w:szCs w:val="24"/>
        </w:rPr>
        <w:lastRenderedPageBreak/>
        <w:t>Ac</w:t>
      </w:r>
      <w:r w:rsidRPr="00156482">
        <w:rPr>
          <w:rFonts w:ascii="Arial" w:hAnsi="Arial" w:cs="Arial"/>
          <w:sz w:val="24"/>
          <w:szCs w:val="24"/>
        </w:rPr>
        <w:t xml:space="preserve">t 24 of 1936 </w:t>
      </w:r>
      <w:r w:rsidR="00996345" w:rsidRPr="00156482">
        <w:rPr>
          <w:rFonts w:ascii="Arial" w:hAnsi="Arial" w:cs="Arial"/>
          <w:sz w:val="24"/>
          <w:szCs w:val="24"/>
        </w:rPr>
        <w:t xml:space="preserve">by proving an 'act of insolvency' since </w:t>
      </w:r>
      <w:r w:rsidRPr="00156482">
        <w:rPr>
          <w:rFonts w:ascii="Arial" w:hAnsi="Arial" w:cs="Arial"/>
          <w:sz w:val="24"/>
          <w:szCs w:val="24"/>
        </w:rPr>
        <w:t>the respondent</w:t>
      </w:r>
      <w:r w:rsidR="00996345" w:rsidRPr="00156482">
        <w:rPr>
          <w:rFonts w:ascii="Arial" w:hAnsi="Arial" w:cs="Arial"/>
          <w:sz w:val="24"/>
          <w:szCs w:val="24"/>
        </w:rPr>
        <w:t xml:space="preserve"> was unable to pay.</w:t>
      </w:r>
    </w:p>
    <w:p w14:paraId="4A54BF65" w14:textId="0EDEBA7E" w:rsidR="00084F6E" w:rsidRDefault="00C832FF" w:rsidP="008D2F7C">
      <w:pPr>
        <w:spacing w:line="360" w:lineRule="auto"/>
        <w:jc w:val="both"/>
        <w:rPr>
          <w:rFonts w:ascii="Arial" w:hAnsi="Arial" w:cs="Arial"/>
          <w:sz w:val="24"/>
          <w:szCs w:val="24"/>
        </w:rPr>
      </w:pPr>
      <w:r w:rsidRPr="00491ED4">
        <w:rPr>
          <w:rFonts w:ascii="Arial" w:hAnsi="Arial" w:cs="Arial"/>
          <w:i/>
          <w:sz w:val="24"/>
          <w:szCs w:val="24"/>
        </w:rPr>
        <w:t>Held</w:t>
      </w:r>
      <w:r w:rsidR="00E045E3" w:rsidRPr="00491ED4">
        <w:rPr>
          <w:rFonts w:ascii="Arial" w:hAnsi="Arial" w:cs="Arial"/>
          <w:i/>
          <w:sz w:val="24"/>
          <w:szCs w:val="24"/>
        </w:rPr>
        <w:t>:</w:t>
      </w:r>
      <w:r w:rsidRPr="00156482">
        <w:rPr>
          <w:rFonts w:ascii="Arial" w:hAnsi="Arial" w:cs="Arial"/>
          <w:sz w:val="24"/>
          <w:szCs w:val="24"/>
        </w:rPr>
        <w:t xml:space="preserve"> </w:t>
      </w:r>
      <w:r w:rsidR="00084F6E">
        <w:rPr>
          <w:rFonts w:ascii="Arial" w:hAnsi="Arial" w:cs="Arial"/>
          <w:sz w:val="24"/>
          <w:szCs w:val="24"/>
        </w:rPr>
        <w:t xml:space="preserve">in so far as the postponement </w:t>
      </w:r>
      <w:r w:rsidR="00BF53EF">
        <w:rPr>
          <w:rFonts w:ascii="Arial" w:hAnsi="Arial" w:cs="Arial"/>
          <w:sz w:val="24"/>
          <w:szCs w:val="24"/>
        </w:rPr>
        <w:t xml:space="preserve">sought </w:t>
      </w:r>
      <w:r w:rsidR="00084F6E">
        <w:rPr>
          <w:rFonts w:ascii="Arial" w:hAnsi="Arial" w:cs="Arial"/>
          <w:sz w:val="24"/>
          <w:szCs w:val="24"/>
        </w:rPr>
        <w:t>by the intervening party, section 131 of the Companies Act does not provide for the postponement</w:t>
      </w:r>
      <w:r w:rsidR="00DA201C">
        <w:rPr>
          <w:rFonts w:ascii="Arial" w:hAnsi="Arial" w:cs="Arial"/>
          <w:sz w:val="24"/>
          <w:szCs w:val="24"/>
        </w:rPr>
        <w:t>,</w:t>
      </w:r>
      <w:r w:rsidR="00084F6E">
        <w:rPr>
          <w:rFonts w:ascii="Arial" w:hAnsi="Arial" w:cs="Arial"/>
          <w:sz w:val="24"/>
          <w:szCs w:val="24"/>
        </w:rPr>
        <w:t xml:space="preserve"> but permits an affected party to enter the merits of the application. A postponement in the current matter, which had not been sought in terms of the Uniform Rules would undermine the expedited nature of the proceedings in Chapter 6.</w:t>
      </w:r>
    </w:p>
    <w:p w14:paraId="199D594D" w14:textId="1CA366B9" w:rsidR="008D2F7C" w:rsidRPr="00156482" w:rsidRDefault="00084F6E" w:rsidP="008D2F7C">
      <w:pPr>
        <w:spacing w:line="360" w:lineRule="auto"/>
        <w:jc w:val="both"/>
        <w:rPr>
          <w:rFonts w:ascii="Arial" w:hAnsi="Arial" w:cs="Arial"/>
          <w:sz w:val="24"/>
          <w:szCs w:val="24"/>
        </w:rPr>
      </w:pPr>
      <w:r w:rsidRPr="00084F6E">
        <w:rPr>
          <w:rFonts w:ascii="Arial" w:hAnsi="Arial" w:cs="Arial"/>
          <w:i/>
          <w:iCs/>
          <w:sz w:val="24"/>
          <w:szCs w:val="24"/>
        </w:rPr>
        <w:t>Held</w:t>
      </w:r>
      <w:r>
        <w:rPr>
          <w:rFonts w:ascii="Arial" w:hAnsi="Arial" w:cs="Arial"/>
          <w:sz w:val="24"/>
          <w:szCs w:val="24"/>
        </w:rPr>
        <w:t xml:space="preserve"> </w:t>
      </w:r>
      <w:r w:rsidR="00E019A6" w:rsidRPr="00156482">
        <w:rPr>
          <w:rFonts w:ascii="Arial" w:hAnsi="Arial" w:cs="Arial"/>
          <w:sz w:val="24"/>
          <w:szCs w:val="24"/>
        </w:rPr>
        <w:t>t</w:t>
      </w:r>
      <w:r w:rsidR="00C832FF" w:rsidRPr="00156482">
        <w:rPr>
          <w:rFonts w:ascii="Arial" w:hAnsi="Arial" w:cs="Arial"/>
          <w:sz w:val="24"/>
          <w:szCs w:val="24"/>
        </w:rPr>
        <w:t xml:space="preserve">he applicant conflated jurisdictional factors with the actual source of the court's authority. Section 69(1)(a) only aids proof of insolvency and cannot provide jurisdiction </w:t>
      </w:r>
      <w:r w:rsidR="00253812" w:rsidRPr="00156482">
        <w:rPr>
          <w:rFonts w:ascii="Arial" w:hAnsi="Arial" w:cs="Arial"/>
          <w:sz w:val="24"/>
          <w:szCs w:val="24"/>
        </w:rPr>
        <w:t>following</w:t>
      </w:r>
      <w:r w:rsidR="00C832FF" w:rsidRPr="00156482">
        <w:rPr>
          <w:rFonts w:ascii="Arial" w:hAnsi="Arial" w:cs="Arial"/>
          <w:sz w:val="24"/>
          <w:szCs w:val="24"/>
        </w:rPr>
        <w:t xml:space="preserve"> section 68</w:t>
      </w:r>
      <w:r w:rsidR="00E045E3" w:rsidRPr="00156482">
        <w:rPr>
          <w:rFonts w:ascii="Arial" w:hAnsi="Arial" w:cs="Arial"/>
          <w:sz w:val="24"/>
          <w:szCs w:val="24"/>
        </w:rPr>
        <w:t xml:space="preserve">’s </w:t>
      </w:r>
      <w:r w:rsidR="00C832FF" w:rsidRPr="00156482">
        <w:rPr>
          <w:rFonts w:ascii="Arial" w:hAnsi="Arial" w:cs="Arial"/>
          <w:sz w:val="24"/>
          <w:szCs w:val="24"/>
        </w:rPr>
        <w:t>repeal. The court has no inherent power to wind</w:t>
      </w:r>
      <w:r w:rsidR="00E045E3" w:rsidRPr="00156482">
        <w:rPr>
          <w:rFonts w:ascii="Arial" w:hAnsi="Arial" w:cs="Arial"/>
          <w:sz w:val="24"/>
          <w:szCs w:val="24"/>
        </w:rPr>
        <w:t>-</w:t>
      </w:r>
      <w:r w:rsidR="00C832FF" w:rsidRPr="00156482">
        <w:rPr>
          <w:rFonts w:ascii="Arial" w:hAnsi="Arial" w:cs="Arial"/>
          <w:sz w:val="24"/>
          <w:szCs w:val="24"/>
        </w:rPr>
        <w:t>up. That authority must come from statute, in this case</w:t>
      </w:r>
      <w:r w:rsidR="00253812" w:rsidRPr="00156482">
        <w:rPr>
          <w:rFonts w:ascii="Arial" w:hAnsi="Arial" w:cs="Arial"/>
          <w:sz w:val="24"/>
          <w:szCs w:val="24"/>
        </w:rPr>
        <w:t>,</w:t>
      </w:r>
      <w:r w:rsidR="00C832FF" w:rsidRPr="00156482">
        <w:rPr>
          <w:rFonts w:ascii="Arial" w:hAnsi="Arial" w:cs="Arial"/>
          <w:sz w:val="24"/>
          <w:szCs w:val="24"/>
        </w:rPr>
        <w:t xml:space="preserve"> section 344(f) of the Old Companies Act</w:t>
      </w:r>
      <w:r w:rsidR="00253812" w:rsidRPr="00156482">
        <w:rPr>
          <w:rFonts w:ascii="Arial" w:hAnsi="Arial" w:cs="Arial"/>
          <w:sz w:val="24"/>
          <w:szCs w:val="24"/>
        </w:rPr>
        <w:t xml:space="preserve">, </w:t>
      </w:r>
      <w:r w:rsidR="00C832FF" w:rsidRPr="00156482">
        <w:rPr>
          <w:rFonts w:ascii="Arial" w:hAnsi="Arial" w:cs="Arial"/>
          <w:sz w:val="24"/>
          <w:szCs w:val="24"/>
        </w:rPr>
        <w:t>now applicable to close corporations via the amended section 66 of the CC Act.</w:t>
      </w:r>
      <w:r w:rsidR="008D2F7C" w:rsidRPr="00156482">
        <w:rPr>
          <w:rFonts w:ascii="Arial" w:hAnsi="Arial" w:cs="Arial"/>
          <w:sz w:val="24"/>
          <w:szCs w:val="24"/>
        </w:rPr>
        <w:t xml:space="preserve"> Section 69(1)(a) of the CC Act is merely an ancillary mechanism for proving insolvency.</w:t>
      </w:r>
    </w:p>
    <w:p w14:paraId="26919724" w14:textId="77777777" w:rsidR="00CF315B" w:rsidRDefault="008D2F7C" w:rsidP="00E019A6">
      <w:pPr>
        <w:spacing w:line="360" w:lineRule="auto"/>
        <w:jc w:val="both"/>
        <w:rPr>
          <w:rFonts w:ascii="Arial" w:hAnsi="Arial" w:cs="Arial"/>
          <w:sz w:val="24"/>
          <w:szCs w:val="24"/>
        </w:rPr>
      </w:pPr>
      <w:r w:rsidRPr="00491ED4">
        <w:rPr>
          <w:rFonts w:ascii="Arial" w:hAnsi="Arial" w:cs="Arial"/>
          <w:i/>
          <w:sz w:val="24"/>
          <w:szCs w:val="24"/>
        </w:rPr>
        <w:t>Further held:</w:t>
      </w:r>
      <w:r w:rsidRPr="00156482">
        <w:rPr>
          <w:rFonts w:ascii="Arial" w:hAnsi="Arial" w:cs="Arial"/>
          <w:sz w:val="24"/>
          <w:szCs w:val="24"/>
        </w:rPr>
        <w:t xml:space="preserve"> </w:t>
      </w:r>
      <w:r w:rsidR="00E019A6" w:rsidRPr="00156482">
        <w:rPr>
          <w:rFonts w:ascii="Arial" w:hAnsi="Arial" w:cs="Arial"/>
          <w:sz w:val="24"/>
          <w:szCs w:val="24"/>
        </w:rPr>
        <w:t>t</w:t>
      </w:r>
      <w:r w:rsidRPr="00156482">
        <w:rPr>
          <w:rFonts w:ascii="Arial" w:hAnsi="Arial" w:cs="Arial"/>
          <w:sz w:val="24"/>
          <w:szCs w:val="24"/>
        </w:rPr>
        <w:t>he</w:t>
      </w:r>
      <w:r w:rsidR="00E019A6" w:rsidRPr="00156482">
        <w:rPr>
          <w:rFonts w:ascii="Arial" w:hAnsi="Arial" w:cs="Arial"/>
          <w:sz w:val="24"/>
          <w:szCs w:val="24"/>
        </w:rPr>
        <w:t xml:space="preserve"> </w:t>
      </w:r>
      <w:r w:rsidRPr="00156482">
        <w:rPr>
          <w:rFonts w:ascii="Arial" w:hAnsi="Arial" w:cs="Arial"/>
          <w:sz w:val="24"/>
          <w:szCs w:val="24"/>
        </w:rPr>
        <w:t>Insolvency Act 24 of 1936</w:t>
      </w:r>
      <w:r w:rsidR="00E019A6" w:rsidRPr="00156482">
        <w:rPr>
          <w:rFonts w:ascii="Arial" w:hAnsi="Arial" w:cs="Arial"/>
          <w:sz w:val="24"/>
          <w:szCs w:val="24"/>
        </w:rPr>
        <w:t xml:space="preserve"> also does not avail itself to the applicant as its remedies apply strictly to individual debtors and partnerships, excluding corporations such as the respondent. </w:t>
      </w:r>
      <w:r w:rsidR="00CF315B">
        <w:rPr>
          <w:rFonts w:ascii="Arial" w:hAnsi="Arial" w:cs="Arial"/>
          <w:sz w:val="24"/>
          <w:szCs w:val="24"/>
        </w:rPr>
        <w:t xml:space="preserve">Equally, section 339 of the Old Companies Act applies after an order for winding up and in the winding up application. </w:t>
      </w:r>
    </w:p>
    <w:p w14:paraId="5D89CBD6" w14:textId="2CD1ED34" w:rsidR="00E019A6" w:rsidRPr="00156482" w:rsidRDefault="00CF315B" w:rsidP="00E019A6">
      <w:pPr>
        <w:spacing w:line="360" w:lineRule="auto"/>
        <w:jc w:val="both"/>
        <w:rPr>
          <w:rFonts w:ascii="Arial" w:hAnsi="Arial" w:cs="Arial"/>
          <w:sz w:val="24"/>
          <w:szCs w:val="24"/>
        </w:rPr>
      </w:pPr>
      <w:r w:rsidRPr="00CF315B">
        <w:rPr>
          <w:rFonts w:ascii="Arial" w:hAnsi="Arial" w:cs="Arial"/>
          <w:i/>
          <w:iCs/>
          <w:sz w:val="24"/>
          <w:szCs w:val="24"/>
        </w:rPr>
        <w:t>Further held</w:t>
      </w:r>
      <w:r>
        <w:rPr>
          <w:rFonts w:ascii="Arial" w:hAnsi="Arial" w:cs="Arial"/>
          <w:sz w:val="24"/>
          <w:szCs w:val="24"/>
        </w:rPr>
        <w:t xml:space="preserve">:  </w:t>
      </w:r>
      <w:r w:rsidR="00E019A6" w:rsidRPr="00156482">
        <w:rPr>
          <w:rFonts w:ascii="Arial" w:hAnsi="Arial" w:cs="Arial"/>
          <w:sz w:val="24"/>
          <w:szCs w:val="24"/>
        </w:rPr>
        <w:t>Even if the respondent was commercially insolvent, the failure to plead the correct jurisdictional basis is fatal to the court being able to grant relief. Consequently, both the liquidation application and intervention application were dismissed with costs to the respondent.</w:t>
      </w:r>
    </w:p>
    <w:p w14:paraId="4D3D7212" w14:textId="0A5DC0FD" w:rsidR="00E019A6" w:rsidRDefault="00E019A6" w:rsidP="00C832FF">
      <w:pPr>
        <w:spacing w:line="360" w:lineRule="auto"/>
        <w:jc w:val="both"/>
        <w:rPr>
          <w:rFonts w:ascii="Times New Roman" w:hAnsi="Times New Roman" w:cs="Times New Roman"/>
          <w:sz w:val="24"/>
          <w:szCs w:val="24"/>
        </w:rPr>
      </w:pPr>
    </w:p>
    <w:p w14:paraId="5DE3CE2B" w14:textId="2636A524" w:rsidR="008A0B5B" w:rsidRPr="006046A8" w:rsidRDefault="008A0B5B" w:rsidP="008A0B5B">
      <w:pPr>
        <w:jc w:val="both"/>
        <w:rPr>
          <w:rFonts w:ascii="Times New Roman" w:hAnsi="Times New Roman" w:cs="Times New Roman"/>
          <w:sz w:val="28"/>
          <w:szCs w:val="28"/>
        </w:rPr>
      </w:pPr>
    </w:p>
    <w:sectPr w:rsidR="008A0B5B" w:rsidRPr="006046A8" w:rsidSect="00F513E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ABEC8" w14:textId="77777777" w:rsidR="000B56C9" w:rsidRDefault="000B56C9" w:rsidP="00084F6E">
      <w:pPr>
        <w:spacing w:after="0" w:line="240" w:lineRule="auto"/>
      </w:pPr>
      <w:r>
        <w:separator/>
      </w:r>
    </w:p>
  </w:endnote>
  <w:endnote w:type="continuationSeparator" w:id="0">
    <w:p w14:paraId="71349712" w14:textId="77777777" w:rsidR="000B56C9" w:rsidRDefault="000B56C9" w:rsidP="0008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23931" w14:textId="77777777" w:rsidR="000B56C9" w:rsidRDefault="000B56C9" w:rsidP="00084F6E">
      <w:pPr>
        <w:spacing w:after="0" w:line="240" w:lineRule="auto"/>
      </w:pPr>
      <w:r>
        <w:separator/>
      </w:r>
    </w:p>
  </w:footnote>
  <w:footnote w:type="continuationSeparator" w:id="0">
    <w:p w14:paraId="3068709C" w14:textId="77777777" w:rsidR="000B56C9" w:rsidRDefault="000B56C9" w:rsidP="00084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5473B"/>
    <w:multiLevelType w:val="multilevel"/>
    <w:tmpl w:val="191A5ECE"/>
    <w:lvl w:ilvl="0">
      <w:start w:val="1"/>
      <w:numFmt w:val="decimal"/>
      <w:pStyle w:val="JudgmentNumbered"/>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6A8"/>
    <w:rsid w:val="00002A22"/>
    <w:rsid w:val="00013E03"/>
    <w:rsid w:val="00022D50"/>
    <w:rsid w:val="000404EC"/>
    <w:rsid w:val="000478B4"/>
    <w:rsid w:val="000550D2"/>
    <w:rsid w:val="00060F53"/>
    <w:rsid w:val="000655E9"/>
    <w:rsid w:val="00082CBF"/>
    <w:rsid w:val="00084F6E"/>
    <w:rsid w:val="00087858"/>
    <w:rsid w:val="00092772"/>
    <w:rsid w:val="0009412D"/>
    <w:rsid w:val="000B56C9"/>
    <w:rsid w:val="000B61DC"/>
    <w:rsid w:val="000D4BA0"/>
    <w:rsid w:val="000E2B92"/>
    <w:rsid w:val="001075DA"/>
    <w:rsid w:val="001118B7"/>
    <w:rsid w:val="00122C80"/>
    <w:rsid w:val="00127C9D"/>
    <w:rsid w:val="001334D9"/>
    <w:rsid w:val="0014313D"/>
    <w:rsid w:val="00143319"/>
    <w:rsid w:val="00156482"/>
    <w:rsid w:val="0017589F"/>
    <w:rsid w:val="00177AA7"/>
    <w:rsid w:val="001847A6"/>
    <w:rsid w:val="00185618"/>
    <w:rsid w:val="0019585F"/>
    <w:rsid w:val="001A1752"/>
    <w:rsid w:val="001A27B7"/>
    <w:rsid w:val="001A2935"/>
    <w:rsid w:val="001A5818"/>
    <w:rsid w:val="001B1C17"/>
    <w:rsid w:val="001C50A0"/>
    <w:rsid w:val="001D74CE"/>
    <w:rsid w:val="002047C6"/>
    <w:rsid w:val="002138FE"/>
    <w:rsid w:val="00220BA2"/>
    <w:rsid w:val="0023016C"/>
    <w:rsid w:val="00231C85"/>
    <w:rsid w:val="00244C8A"/>
    <w:rsid w:val="00245DAE"/>
    <w:rsid w:val="002535EB"/>
    <w:rsid w:val="00253812"/>
    <w:rsid w:val="002711F0"/>
    <w:rsid w:val="00276379"/>
    <w:rsid w:val="002A06D1"/>
    <w:rsid w:val="002B6A68"/>
    <w:rsid w:val="002C0726"/>
    <w:rsid w:val="002C25BD"/>
    <w:rsid w:val="002C7673"/>
    <w:rsid w:val="002D0C8A"/>
    <w:rsid w:val="003321C1"/>
    <w:rsid w:val="0033432B"/>
    <w:rsid w:val="00335EA0"/>
    <w:rsid w:val="003467A1"/>
    <w:rsid w:val="00350849"/>
    <w:rsid w:val="00363EE9"/>
    <w:rsid w:val="00366028"/>
    <w:rsid w:val="00366E11"/>
    <w:rsid w:val="00367683"/>
    <w:rsid w:val="00376701"/>
    <w:rsid w:val="00381925"/>
    <w:rsid w:val="003B2421"/>
    <w:rsid w:val="003D3DF7"/>
    <w:rsid w:val="003D4538"/>
    <w:rsid w:val="003D51F3"/>
    <w:rsid w:val="003D552B"/>
    <w:rsid w:val="003F37E7"/>
    <w:rsid w:val="003F68B4"/>
    <w:rsid w:val="003F7E3C"/>
    <w:rsid w:val="0040531F"/>
    <w:rsid w:val="0041560A"/>
    <w:rsid w:val="0046291B"/>
    <w:rsid w:val="004632A2"/>
    <w:rsid w:val="0047138C"/>
    <w:rsid w:val="00471E27"/>
    <w:rsid w:val="00491ED4"/>
    <w:rsid w:val="004A2A81"/>
    <w:rsid w:val="004A4260"/>
    <w:rsid w:val="004B1122"/>
    <w:rsid w:val="004B125B"/>
    <w:rsid w:val="004B710A"/>
    <w:rsid w:val="004C2D0C"/>
    <w:rsid w:val="004D6B6D"/>
    <w:rsid w:val="004E24D5"/>
    <w:rsid w:val="004E3583"/>
    <w:rsid w:val="00517361"/>
    <w:rsid w:val="00521E78"/>
    <w:rsid w:val="00550E09"/>
    <w:rsid w:val="005571C6"/>
    <w:rsid w:val="00563FA2"/>
    <w:rsid w:val="00573792"/>
    <w:rsid w:val="0058469F"/>
    <w:rsid w:val="00590F49"/>
    <w:rsid w:val="005924CF"/>
    <w:rsid w:val="005B0295"/>
    <w:rsid w:val="005B2BC6"/>
    <w:rsid w:val="005B596B"/>
    <w:rsid w:val="005C44FF"/>
    <w:rsid w:val="005D12DD"/>
    <w:rsid w:val="006046A8"/>
    <w:rsid w:val="00610B7F"/>
    <w:rsid w:val="00624646"/>
    <w:rsid w:val="00626387"/>
    <w:rsid w:val="00640710"/>
    <w:rsid w:val="00652401"/>
    <w:rsid w:val="00654785"/>
    <w:rsid w:val="00674B2B"/>
    <w:rsid w:val="00680534"/>
    <w:rsid w:val="00694FBB"/>
    <w:rsid w:val="006C384F"/>
    <w:rsid w:val="006C5BC2"/>
    <w:rsid w:val="006D2A93"/>
    <w:rsid w:val="006E0B0B"/>
    <w:rsid w:val="00700C9C"/>
    <w:rsid w:val="00712170"/>
    <w:rsid w:val="00725ADA"/>
    <w:rsid w:val="007267F5"/>
    <w:rsid w:val="00731F08"/>
    <w:rsid w:val="00743A3A"/>
    <w:rsid w:val="00750834"/>
    <w:rsid w:val="0076092F"/>
    <w:rsid w:val="00764E02"/>
    <w:rsid w:val="007659CC"/>
    <w:rsid w:val="00786695"/>
    <w:rsid w:val="007942C0"/>
    <w:rsid w:val="00795D5A"/>
    <w:rsid w:val="007A0E34"/>
    <w:rsid w:val="007B34D4"/>
    <w:rsid w:val="007C0D14"/>
    <w:rsid w:val="007D4DB4"/>
    <w:rsid w:val="007F4DA0"/>
    <w:rsid w:val="0080180B"/>
    <w:rsid w:val="008078B0"/>
    <w:rsid w:val="00810619"/>
    <w:rsid w:val="0082556B"/>
    <w:rsid w:val="00831834"/>
    <w:rsid w:val="008439F9"/>
    <w:rsid w:val="0084719A"/>
    <w:rsid w:val="008513C8"/>
    <w:rsid w:val="0085286F"/>
    <w:rsid w:val="008561BB"/>
    <w:rsid w:val="00863376"/>
    <w:rsid w:val="0089208B"/>
    <w:rsid w:val="0089249F"/>
    <w:rsid w:val="00897B68"/>
    <w:rsid w:val="008A0B5B"/>
    <w:rsid w:val="008B15D5"/>
    <w:rsid w:val="008B5F04"/>
    <w:rsid w:val="008C17F1"/>
    <w:rsid w:val="008C661C"/>
    <w:rsid w:val="008D2F7C"/>
    <w:rsid w:val="008D48BF"/>
    <w:rsid w:val="008E09C3"/>
    <w:rsid w:val="008F33BC"/>
    <w:rsid w:val="008F37C9"/>
    <w:rsid w:val="008F6553"/>
    <w:rsid w:val="008F7009"/>
    <w:rsid w:val="00926651"/>
    <w:rsid w:val="009360B4"/>
    <w:rsid w:val="00937141"/>
    <w:rsid w:val="00961FB4"/>
    <w:rsid w:val="00972953"/>
    <w:rsid w:val="00976888"/>
    <w:rsid w:val="0098062C"/>
    <w:rsid w:val="00991977"/>
    <w:rsid w:val="00994A1E"/>
    <w:rsid w:val="00996345"/>
    <w:rsid w:val="009A3C55"/>
    <w:rsid w:val="009F13A7"/>
    <w:rsid w:val="00A0145D"/>
    <w:rsid w:val="00A06336"/>
    <w:rsid w:val="00A11D2E"/>
    <w:rsid w:val="00A14E78"/>
    <w:rsid w:val="00A33474"/>
    <w:rsid w:val="00A4119B"/>
    <w:rsid w:val="00A43485"/>
    <w:rsid w:val="00A44157"/>
    <w:rsid w:val="00A47334"/>
    <w:rsid w:val="00A73DBA"/>
    <w:rsid w:val="00A8102D"/>
    <w:rsid w:val="00A85072"/>
    <w:rsid w:val="00A86241"/>
    <w:rsid w:val="00AA50F3"/>
    <w:rsid w:val="00AB5FBE"/>
    <w:rsid w:val="00AC2842"/>
    <w:rsid w:val="00AC5486"/>
    <w:rsid w:val="00AE084B"/>
    <w:rsid w:val="00AE4958"/>
    <w:rsid w:val="00AE764E"/>
    <w:rsid w:val="00B151DF"/>
    <w:rsid w:val="00B23274"/>
    <w:rsid w:val="00B2425D"/>
    <w:rsid w:val="00B24778"/>
    <w:rsid w:val="00B259AC"/>
    <w:rsid w:val="00B36C9F"/>
    <w:rsid w:val="00B4115A"/>
    <w:rsid w:val="00B64263"/>
    <w:rsid w:val="00B66B71"/>
    <w:rsid w:val="00B909C4"/>
    <w:rsid w:val="00B91CAF"/>
    <w:rsid w:val="00BA4F54"/>
    <w:rsid w:val="00BA79E8"/>
    <w:rsid w:val="00BB0519"/>
    <w:rsid w:val="00BB0EFE"/>
    <w:rsid w:val="00BB1E66"/>
    <w:rsid w:val="00BE3FDE"/>
    <w:rsid w:val="00BF53EF"/>
    <w:rsid w:val="00C05954"/>
    <w:rsid w:val="00C40352"/>
    <w:rsid w:val="00C4233C"/>
    <w:rsid w:val="00C4706B"/>
    <w:rsid w:val="00C6281F"/>
    <w:rsid w:val="00C6358E"/>
    <w:rsid w:val="00C67184"/>
    <w:rsid w:val="00C832FF"/>
    <w:rsid w:val="00C83547"/>
    <w:rsid w:val="00C87AF4"/>
    <w:rsid w:val="00C909DA"/>
    <w:rsid w:val="00CA6ACB"/>
    <w:rsid w:val="00CD4589"/>
    <w:rsid w:val="00CD7B2D"/>
    <w:rsid w:val="00CE300B"/>
    <w:rsid w:val="00CE6603"/>
    <w:rsid w:val="00CF315B"/>
    <w:rsid w:val="00D02318"/>
    <w:rsid w:val="00D153D2"/>
    <w:rsid w:val="00D248FC"/>
    <w:rsid w:val="00D43171"/>
    <w:rsid w:val="00D43395"/>
    <w:rsid w:val="00D53C94"/>
    <w:rsid w:val="00D573DA"/>
    <w:rsid w:val="00D57528"/>
    <w:rsid w:val="00D577A9"/>
    <w:rsid w:val="00D60E72"/>
    <w:rsid w:val="00D6301F"/>
    <w:rsid w:val="00D7716F"/>
    <w:rsid w:val="00D85C4C"/>
    <w:rsid w:val="00D901F6"/>
    <w:rsid w:val="00DA201C"/>
    <w:rsid w:val="00DA57E4"/>
    <w:rsid w:val="00DA6BF7"/>
    <w:rsid w:val="00DB3D9D"/>
    <w:rsid w:val="00DB4371"/>
    <w:rsid w:val="00DB71A9"/>
    <w:rsid w:val="00DC50BD"/>
    <w:rsid w:val="00DD0E06"/>
    <w:rsid w:val="00DD221A"/>
    <w:rsid w:val="00DE1951"/>
    <w:rsid w:val="00DE756E"/>
    <w:rsid w:val="00DE7DBC"/>
    <w:rsid w:val="00DF3F3A"/>
    <w:rsid w:val="00E019A6"/>
    <w:rsid w:val="00E03C42"/>
    <w:rsid w:val="00E045E3"/>
    <w:rsid w:val="00E04C3D"/>
    <w:rsid w:val="00E07692"/>
    <w:rsid w:val="00E21BCC"/>
    <w:rsid w:val="00E256EC"/>
    <w:rsid w:val="00E447A7"/>
    <w:rsid w:val="00E606B4"/>
    <w:rsid w:val="00E80BC5"/>
    <w:rsid w:val="00E80C49"/>
    <w:rsid w:val="00E81C44"/>
    <w:rsid w:val="00E82DB2"/>
    <w:rsid w:val="00E95044"/>
    <w:rsid w:val="00E97E25"/>
    <w:rsid w:val="00EB1104"/>
    <w:rsid w:val="00EB5CEF"/>
    <w:rsid w:val="00EF3BA1"/>
    <w:rsid w:val="00EF4D30"/>
    <w:rsid w:val="00F076CD"/>
    <w:rsid w:val="00F11F73"/>
    <w:rsid w:val="00F17642"/>
    <w:rsid w:val="00F2071B"/>
    <w:rsid w:val="00F23D14"/>
    <w:rsid w:val="00F276B4"/>
    <w:rsid w:val="00F42498"/>
    <w:rsid w:val="00F5016B"/>
    <w:rsid w:val="00F513EE"/>
    <w:rsid w:val="00F62762"/>
    <w:rsid w:val="00F86044"/>
    <w:rsid w:val="00F8762E"/>
    <w:rsid w:val="00F9216F"/>
    <w:rsid w:val="00FB50B3"/>
    <w:rsid w:val="00FF3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FB78"/>
  <w15:chartTrackingRefBased/>
  <w15:docId w15:val="{0D0D1748-F07E-8748-A4BE-7FE6FBDD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6A8"/>
    <w:pPr>
      <w:spacing w:after="160" w:line="259" w:lineRule="auto"/>
    </w:pPr>
    <w:rPr>
      <w:kern w:val="2"/>
      <w:sz w:val="22"/>
      <w:szCs w:val="22"/>
      <w:lang w:val="en-Z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gmentNumbered">
    <w:name w:val="Judgment Numbered"/>
    <w:basedOn w:val="Normal"/>
    <w:link w:val="JudgmentNumberedChar"/>
    <w:qFormat/>
    <w:rsid w:val="00366E11"/>
    <w:pPr>
      <w:numPr>
        <w:numId w:val="1"/>
      </w:numPr>
      <w:spacing w:after="240" w:line="360" w:lineRule="auto"/>
      <w:jc w:val="both"/>
    </w:pPr>
    <w:rPr>
      <w:rFonts w:ascii="Arial" w:hAnsi="Arial" w:cs="Arial"/>
      <w:kern w:val="0"/>
      <w:sz w:val="24"/>
      <w:lang w:val="en-GB"/>
      <w14:ligatures w14:val="none"/>
    </w:rPr>
  </w:style>
  <w:style w:type="character" w:customStyle="1" w:styleId="JudgmentNumberedChar">
    <w:name w:val="Judgment Numbered Char"/>
    <w:basedOn w:val="DefaultParagraphFont"/>
    <w:link w:val="JudgmentNumbered"/>
    <w:rsid w:val="00366E11"/>
    <w:rPr>
      <w:rFonts w:ascii="Arial" w:hAnsi="Arial" w:cs="Arial"/>
      <w:szCs w:val="22"/>
    </w:rPr>
  </w:style>
  <w:style w:type="paragraph" w:styleId="Header">
    <w:name w:val="header"/>
    <w:basedOn w:val="Normal"/>
    <w:link w:val="HeaderChar"/>
    <w:uiPriority w:val="99"/>
    <w:unhideWhenUsed/>
    <w:rsid w:val="00084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F6E"/>
    <w:rPr>
      <w:kern w:val="2"/>
      <w:sz w:val="22"/>
      <w:szCs w:val="22"/>
      <w:lang w:val="en-ZA"/>
      <w14:ligatures w14:val="standardContextual"/>
    </w:rPr>
  </w:style>
  <w:style w:type="paragraph" w:styleId="Footer">
    <w:name w:val="footer"/>
    <w:basedOn w:val="Normal"/>
    <w:link w:val="FooterChar"/>
    <w:uiPriority w:val="99"/>
    <w:unhideWhenUsed/>
    <w:rsid w:val="00084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F6E"/>
    <w:rPr>
      <w:kern w:val="2"/>
      <w:sz w:val="22"/>
      <w:szCs w:val="22"/>
      <w:lang w:val="en-Z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Yonga Madikizela</dc:creator>
  <cp:keywords/>
  <dc:description/>
  <cp:lastModifiedBy>Tshwarelo Mabina</cp:lastModifiedBy>
  <cp:revision>2</cp:revision>
  <dcterms:created xsi:type="dcterms:W3CDTF">2023-12-07T09:50:00Z</dcterms:created>
  <dcterms:modified xsi:type="dcterms:W3CDTF">2023-12-07T09:50:00Z</dcterms:modified>
</cp:coreProperties>
</file>