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1EAB9" w14:textId="77777777" w:rsidR="007957E2" w:rsidRDefault="00310AC2">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14:anchorId="62F0D369" wp14:editId="4BEB4EF7">
            <wp:extent cx="1311112" cy="11579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14:paraId="7506B377" w14:textId="77777777" w:rsidR="007957E2" w:rsidRDefault="00310AC2">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14:paraId="1D1FCA9A" w14:textId="77777777" w:rsidR="007957E2" w:rsidRDefault="00310AC2">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14:paraId="67AC3ED9" w14:textId="77777777" w:rsidR="007957E2" w:rsidRDefault="007957E2">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7957E2" w14:paraId="0CD41B67" w14:textId="77777777">
        <w:tc>
          <w:tcPr>
            <w:tcW w:w="9007" w:type="dxa"/>
            <w:gridSpan w:val="2"/>
          </w:tcPr>
          <w:p w14:paraId="55F400EB" w14:textId="19176E8C" w:rsidR="007957E2" w:rsidRDefault="00EA3A17">
            <w:pPr>
              <w:spacing w:after="0" w:line="276" w:lineRule="auto"/>
              <w:jc w:val="center"/>
              <w:rPr>
                <w:rFonts w:ascii="Gill Sans" w:eastAsia="Gill Sans" w:hAnsi="Gill Sans" w:cs="Gill Sans"/>
                <w:b/>
                <w:i/>
              </w:rPr>
            </w:pPr>
            <w:proofErr w:type="spellStart"/>
            <w:r w:rsidRPr="00EA3A17">
              <w:rPr>
                <w:rFonts w:ascii="Gill Sans" w:eastAsia="Gill Sans" w:hAnsi="Gill Sans" w:cs="Gill Sans"/>
                <w:b/>
                <w:i/>
              </w:rPr>
              <w:t>Kajee</w:t>
            </w:r>
            <w:proofErr w:type="spellEnd"/>
            <w:r w:rsidRPr="00EA3A17">
              <w:rPr>
                <w:rFonts w:ascii="Gill Sans" w:eastAsia="Gill Sans" w:hAnsi="Gill Sans" w:cs="Gill Sans"/>
                <w:b/>
                <w:i/>
              </w:rPr>
              <w:t xml:space="preserve"> v Special Investigations Unit and Others; Special Investigating Unit and Others v </w:t>
            </w:r>
            <w:proofErr w:type="spellStart"/>
            <w:r w:rsidRPr="00EA3A17">
              <w:rPr>
                <w:rFonts w:ascii="Gill Sans" w:eastAsia="Gill Sans" w:hAnsi="Gill Sans" w:cs="Gill Sans"/>
                <w:b/>
                <w:i/>
              </w:rPr>
              <w:t>Lekabe</w:t>
            </w:r>
            <w:proofErr w:type="spellEnd"/>
            <w:r w:rsidRPr="00EA3A17">
              <w:rPr>
                <w:rFonts w:ascii="Gill Sans" w:eastAsia="Gill Sans" w:hAnsi="Gill Sans" w:cs="Gill Sans"/>
                <w:b/>
                <w:i/>
              </w:rPr>
              <w:t xml:space="preserve"> and Another; In re: Actions brought under case numbers GP/09/2019 and GP/22/2021 (GP09/2019; GP22/2021)</w:t>
            </w:r>
          </w:p>
        </w:tc>
      </w:tr>
      <w:tr w:rsidR="007957E2" w14:paraId="3BD05D3B" w14:textId="77777777">
        <w:tc>
          <w:tcPr>
            <w:tcW w:w="2689" w:type="dxa"/>
          </w:tcPr>
          <w:p w14:paraId="402C04B3"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73BD2F66" w14:textId="3EE033CB" w:rsidR="007957E2" w:rsidRDefault="00310AC2">
            <w:pPr>
              <w:spacing w:after="0" w:line="276" w:lineRule="auto"/>
              <w:jc w:val="both"/>
              <w:rPr>
                <w:rFonts w:ascii="Gill Sans" w:eastAsia="Gill Sans" w:hAnsi="Gill Sans" w:cs="Gill Sans"/>
              </w:rPr>
            </w:pPr>
            <w:hyperlink r:id="rId8" w:history="1">
              <w:r w:rsidR="00330919" w:rsidRPr="00001542">
                <w:rPr>
                  <w:rStyle w:val="Hyperlink"/>
                  <w:rFonts w:ascii="Gill Sans" w:eastAsia="Gill Sans" w:hAnsi="Gill Sans" w:cs="Gill Sans"/>
                </w:rPr>
                <w:t>https://lawlibrary.org.za/akn/za/judgment/zast/2023/16/eng@2023-11-20</w:t>
              </w:r>
            </w:hyperlink>
            <w:r w:rsidR="00330919">
              <w:rPr>
                <w:rFonts w:ascii="Gill Sans" w:eastAsia="Gill Sans" w:hAnsi="Gill Sans" w:cs="Gill Sans"/>
              </w:rPr>
              <w:t xml:space="preserve"> </w:t>
            </w:r>
          </w:p>
        </w:tc>
      </w:tr>
      <w:tr w:rsidR="007957E2" w14:paraId="1698AB87" w14:textId="77777777">
        <w:tc>
          <w:tcPr>
            <w:tcW w:w="2689" w:type="dxa"/>
          </w:tcPr>
          <w:p w14:paraId="43957FF8"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595B1746" w14:textId="0EDE96A9" w:rsidR="007957E2" w:rsidRDefault="00330919">
            <w:pPr>
              <w:spacing w:after="0" w:line="276" w:lineRule="auto"/>
              <w:jc w:val="both"/>
              <w:rPr>
                <w:rFonts w:ascii="Gill Sans" w:eastAsia="Gill Sans" w:hAnsi="Gill Sans" w:cs="Gill Sans"/>
              </w:rPr>
            </w:pPr>
            <w:r w:rsidRPr="00330919">
              <w:rPr>
                <w:rFonts w:ascii="Gill Sans" w:eastAsia="Gill Sans" w:hAnsi="Gill Sans" w:cs="Gill Sans"/>
              </w:rPr>
              <w:t>[2023] ZAST 16</w:t>
            </w:r>
          </w:p>
        </w:tc>
      </w:tr>
      <w:tr w:rsidR="007957E2" w14:paraId="14796CC7" w14:textId="77777777">
        <w:tc>
          <w:tcPr>
            <w:tcW w:w="2689" w:type="dxa"/>
          </w:tcPr>
          <w:p w14:paraId="79F91E60"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650F3BE3" w14:textId="6F49167B" w:rsidR="007957E2" w:rsidRDefault="00330919">
            <w:pPr>
              <w:spacing w:after="0" w:line="276" w:lineRule="auto"/>
              <w:jc w:val="both"/>
              <w:rPr>
                <w:rFonts w:ascii="Gill Sans" w:eastAsia="Gill Sans" w:hAnsi="Gill Sans" w:cs="Gill Sans"/>
              </w:rPr>
            </w:pPr>
            <w:r>
              <w:rPr>
                <w:rFonts w:ascii="Gill Sans" w:eastAsia="Gill Sans" w:hAnsi="Gill Sans" w:cs="Gill Sans"/>
              </w:rPr>
              <w:t>20 November 2023</w:t>
            </w:r>
          </w:p>
        </w:tc>
      </w:tr>
      <w:tr w:rsidR="007957E2" w14:paraId="496E4349" w14:textId="77777777">
        <w:tc>
          <w:tcPr>
            <w:tcW w:w="2689" w:type="dxa"/>
          </w:tcPr>
          <w:p w14:paraId="114EC4B2" w14:textId="77777777" w:rsidR="007957E2" w:rsidRDefault="00310AC2">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15DC8F33" w14:textId="3ADD3D74" w:rsidR="007957E2" w:rsidRDefault="00747127">
            <w:pPr>
              <w:spacing w:after="0" w:line="276" w:lineRule="auto"/>
              <w:jc w:val="both"/>
              <w:rPr>
                <w:rFonts w:ascii="Gill Sans" w:eastAsia="Gill Sans" w:hAnsi="Gill Sans" w:cs="Gill Sans"/>
              </w:rPr>
            </w:pPr>
            <w:r>
              <w:rPr>
                <w:rFonts w:ascii="Gill Sans" w:eastAsia="Gill Sans" w:hAnsi="Gill Sans" w:cs="Gill Sans"/>
              </w:rPr>
              <w:t>Irregular step application dismissed; consolidation application granted, frivolous and vexatious, prejudice, punitive costs</w:t>
            </w:r>
          </w:p>
        </w:tc>
      </w:tr>
      <w:tr w:rsidR="007957E2" w14:paraId="41764A82" w14:textId="77777777">
        <w:tc>
          <w:tcPr>
            <w:tcW w:w="2689" w:type="dxa"/>
          </w:tcPr>
          <w:p w14:paraId="2618245C"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14:paraId="073792ED" w14:textId="53143B08" w:rsidR="007957E2" w:rsidRDefault="00747127">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Special Investigation Unit (</w:t>
            </w:r>
            <w:r w:rsidRPr="005F2396">
              <w:rPr>
                <w:rFonts w:ascii="Gill Sans" w:eastAsia="Gill Sans" w:hAnsi="Gill Sans" w:cs="Gill Sans"/>
                <w:b/>
                <w:bCs/>
              </w:rPr>
              <w:t>SIU</w:t>
            </w:r>
            <w:r>
              <w:rPr>
                <w:rFonts w:ascii="Gill Sans" w:eastAsia="Gill Sans" w:hAnsi="Gill Sans" w:cs="Gill Sans"/>
              </w:rPr>
              <w:t>) sought the consolidation of two actions (</w:t>
            </w:r>
            <w:r w:rsidRPr="005F2396">
              <w:rPr>
                <w:rFonts w:ascii="Gill Sans" w:eastAsia="Gill Sans" w:hAnsi="Gill Sans" w:cs="Gill Sans"/>
                <w:b/>
                <w:bCs/>
              </w:rPr>
              <w:t>Consolidation Application</w:t>
            </w:r>
            <w:r>
              <w:rPr>
                <w:rFonts w:ascii="Gill Sans" w:eastAsia="Gill Sans" w:hAnsi="Gill Sans" w:cs="Gill Sans"/>
              </w:rPr>
              <w:t>). The actions related to the relief sought against the first respondent (</w:t>
            </w:r>
            <w:proofErr w:type="spellStart"/>
            <w:r w:rsidRPr="005F2396">
              <w:rPr>
                <w:rFonts w:ascii="Gill Sans" w:eastAsia="Gill Sans" w:hAnsi="Gill Sans" w:cs="Gill Sans"/>
                <w:b/>
                <w:bCs/>
              </w:rPr>
              <w:t>Lekabe</w:t>
            </w:r>
            <w:proofErr w:type="spellEnd"/>
            <w:r>
              <w:rPr>
                <w:rFonts w:ascii="Gill Sans" w:eastAsia="Gill Sans" w:hAnsi="Gill Sans" w:cs="Gill Sans"/>
              </w:rPr>
              <w:t>) and the second respondent (</w:t>
            </w:r>
            <w:proofErr w:type="spellStart"/>
            <w:r w:rsidRPr="005F2396">
              <w:rPr>
                <w:rFonts w:ascii="Gill Sans" w:eastAsia="Gill Sans" w:hAnsi="Gill Sans" w:cs="Gill Sans"/>
                <w:b/>
                <w:bCs/>
              </w:rPr>
              <w:t>Kajee</w:t>
            </w:r>
            <w:proofErr w:type="spellEnd"/>
            <w:r>
              <w:rPr>
                <w:rFonts w:ascii="Gill Sans" w:eastAsia="Gill Sans" w:hAnsi="Gill Sans" w:cs="Gill Sans"/>
              </w:rPr>
              <w:t xml:space="preserve">) for the loss suffered by the State as a result of the alleged corrupt and collusive relationship between </w:t>
            </w:r>
            <w:proofErr w:type="spellStart"/>
            <w:r>
              <w:rPr>
                <w:rFonts w:ascii="Gill Sans" w:eastAsia="Gill Sans" w:hAnsi="Gill Sans" w:cs="Gill Sans"/>
              </w:rPr>
              <w:t>Lekabe</w:t>
            </w:r>
            <w:proofErr w:type="spellEnd"/>
            <w:r>
              <w:rPr>
                <w:rFonts w:ascii="Gill Sans" w:eastAsia="Gill Sans" w:hAnsi="Gill Sans" w:cs="Gill Sans"/>
              </w:rPr>
              <w:t xml:space="preserve"> and </w:t>
            </w:r>
            <w:proofErr w:type="spellStart"/>
            <w:r>
              <w:rPr>
                <w:rFonts w:ascii="Gill Sans" w:eastAsia="Gill Sans" w:hAnsi="Gill Sans" w:cs="Gill Sans"/>
              </w:rPr>
              <w:t>Kajee</w:t>
            </w:r>
            <w:proofErr w:type="spellEnd"/>
            <w:r>
              <w:rPr>
                <w:rFonts w:ascii="Gill Sans" w:eastAsia="Gill Sans" w:hAnsi="Gill Sans" w:cs="Gill Sans"/>
              </w:rPr>
              <w:t xml:space="preserve">. The Consolidation Application was resisted by </w:t>
            </w:r>
            <w:proofErr w:type="spellStart"/>
            <w:r>
              <w:rPr>
                <w:rFonts w:ascii="Gill Sans" w:eastAsia="Gill Sans" w:hAnsi="Gill Sans" w:cs="Gill Sans"/>
              </w:rPr>
              <w:t>Kajee</w:t>
            </w:r>
            <w:proofErr w:type="spellEnd"/>
            <w:r>
              <w:rPr>
                <w:rFonts w:ascii="Gill Sans" w:eastAsia="Gill Sans" w:hAnsi="Gill Sans" w:cs="Gill Sans"/>
              </w:rPr>
              <w:t>, who submitted that the notice of motion filed in the Consolidation Application ought to be set aside as an irregular step (</w:t>
            </w:r>
            <w:r w:rsidRPr="005F2396">
              <w:rPr>
                <w:rFonts w:ascii="Gill Sans" w:eastAsia="Gill Sans" w:hAnsi="Gill Sans" w:cs="Gill Sans"/>
                <w:b/>
                <w:bCs/>
              </w:rPr>
              <w:t>Irregular Step Application</w:t>
            </w:r>
            <w:r>
              <w:rPr>
                <w:rFonts w:ascii="Gill Sans" w:eastAsia="Gill Sans" w:hAnsi="Gill Sans" w:cs="Gill Sans"/>
              </w:rPr>
              <w:t xml:space="preserve">). </w:t>
            </w:r>
            <w:proofErr w:type="spellStart"/>
            <w:r>
              <w:rPr>
                <w:rFonts w:ascii="Gill Sans" w:eastAsia="Gill Sans" w:hAnsi="Gill Sans" w:cs="Gill Sans"/>
              </w:rPr>
              <w:t>Lekabe</w:t>
            </w:r>
            <w:proofErr w:type="spellEnd"/>
            <w:r>
              <w:rPr>
                <w:rFonts w:ascii="Gill Sans" w:eastAsia="Gill Sans" w:hAnsi="Gill Sans" w:cs="Gill Sans"/>
              </w:rPr>
              <w:t xml:space="preserve"> objected to the Consolidation Application being determined on the basis of the papers filed, however, none of the respondents filed opposing papers.</w:t>
            </w:r>
          </w:p>
          <w:p w14:paraId="16B9E63F" w14:textId="77777777" w:rsidR="007957E2" w:rsidRDefault="007957E2">
            <w:pPr>
              <w:spacing w:after="0" w:line="276" w:lineRule="auto"/>
              <w:jc w:val="both"/>
              <w:rPr>
                <w:rFonts w:ascii="Gill Sans" w:eastAsia="Gill Sans" w:hAnsi="Gill Sans" w:cs="Gill Sans"/>
              </w:rPr>
            </w:pPr>
            <w:bookmarkStart w:id="2" w:name="_heading=h.jnwmbrohwg7k" w:colFirst="0" w:colLast="0"/>
            <w:bookmarkEnd w:id="2"/>
          </w:p>
          <w:p w14:paraId="7A0C35BB" w14:textId="74C2BB0D" w:rsidR="00747127" w:rsidRDefault="00747127">
            <w:pPr>
              <w:spacing w:after="0" w:line="276" w:lineRule="auto"/>
              <w:jc w:val="both"/>
              <w:rPr>
                <w:rFonts w:ascii="Gill Sans" w:eastAsia="Gill Sans" w:hAnsi="Gill Sans" w:cs="Gill Sans"/>
              </w:rPr>
            </w:pPr>
            <w:r>
              <w:rPr>
                <w:rFonts w:ascii="Gill Sans" w:eastAsia="Gill Sans" w:hAnsi="Gill Sans" w:cs="Gill Sans"/>
              </w:rPr>
              <w:t>The Special Tribunal (</w:t>
            </w:r>
            <w:r w:rsidRPr="005F2396">
              <w:rPr>
                <w:rFonts w:ascii="Gill Sans" w:eastAsia="Gill Sans" w:hAnsi="Gill Sans" w:cs="Gill Sans"/>
                <w:b/>
                <w:bCs/>
              </w:rPr>
              <w:t>Tribunal</w:t>
            </w:r>
            <w:r>
              <w:rPr>
                <w:rFonts w:ascii="Gill Sans" w:eastAsia="Gill Sans" w:hAnsi="Gill Sans" w:cs="Gill Sans"/>
              </w:rPr>
              <w:t>) was asked to determine whether the notice of motion in the Consolidation Application constituted an irregular step as contemplated by Uniform Rule 30, and also whether the consolidation application ought to be granted.</w:t>
            </w:r>
          </w:p>
        </w:tc>
      </w:tr>
      <w:tr w:rsidR="007957E2" w14:paraId="5F53108E" w14:textId="77777777">
        <w:tc>
          <w:tcPr>
            <w:tcW w:w="2689" w:type="dxa"/>
          </w:tcPr>
          <w:p w14:paraId="72153590"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t>Decision/ Judgment</w:t>
            </w:r>
            <w:r>
              <w:rPr>
                <w:rFonts w:ascii="Gill Sans" w:eastAsia="Gill Sans" w:hAnsi="Gill Sans" w:cs="Gill Sans"/>
                <w:vertAlign w:val="superscript"/>
              </w:rPr>
              <w:footnoteReference w:id="3"/>
            </w:r>
          </w:p>
        </w:tc>
        <w:tc>
          <w:tcPr>
            <w:tcW w:w="6318" w:type="dxa"/>
          </w:tcPr>
          <w:p w14:paraId="32B4DB6F" w14:textId="0C02BC8D" w:rsidR="007957E2" w:rsidRDefault="00747127">
            <w:pPr>
              <w:spacing w:after="0"/>
              <w:jc w:val="both"/>
              <w:rPr>
                <w:rFonts w:ascii="Gill Sans" w:eastAsia="Gill Sans" w:hAnsi="Gill Sans" w:cs="Gill Sans"/>
              </w:rPr>
            </w:pPr>
            <w:r>
              <w:rPr>
                <w:rFonts w:ascii="Gill Sans" w:eastAsia="Gill Sans" w:hAnsi="Gill Sans" w:cs="Gill Sans"/>
              </w:rPr>
              <w:t>The Tribunal granted the Consolidation Application, and dismissed the Irregular Step Application.</w:t>
            </w:r>
          </w:p>
        </w:tc>
      </w:tr>
      <w:tr w:rsidR="007957E2" w14:paraId="2C99D205" w14:textId="77777777">
        <w:tc>
          <w:tcPr>
            <w:tcW w:w="2689" w:type="dxa"/>
          </w:tcPr>
          <w:p w14:paraId="10AF129F"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lastRenderedPageBreak/>
              <w:t>Basis of the decision</w:t>
            </w:r>
            <w:r>
              <w:rPr>
                <w:rFonts w:ascii="Gill Sans" w:eastAsia="Gill Sans" w:hAnsi="Gill Sans" w:cs="Gill Sans"/>
                <w:vertAlign w:val="superscript"/>
              </w:rPr>
              <w:footnoteReference w:id="4"/>
            </w:r>
          </w:p>
        </w:tc>
        <w:tc>
          <w:tcPr>
            <w:tcW w:w="6318" w:type="dxa"/>
          </w:tcPr>
          <w:p w14:paraId="7DA54FEE" w14:textId="77777777" w:rsidR="00747127" w:rsidRDefault="00747127" w:rsidP="00747127">
            <w:pPr>
              <w:spacing w:after="0" w:line="276" w:lineRule="auto"/>
              <w:jc w:val="both"/>
              <w:rPr>
                <w:rFonts w:ascii="Gill Sans" w:eastAsia="Gill Sans" w:hAnsi="Gill Sans" w:cs="Gill Sans"/>
              </w:rPr>
            </w:pPr>
            <w:r>
              <w:rPr>
                <w:rFonts w:ascii="Gill Sans" w:eastAsia="Gill Sans" w:hAnsi="Gill Sans" w:cs="Gill Sans"/>
              </w:rPr>
              <w:t xml:space="preserve">Although </w:t>
            </w:r>
            <w:proofErr w:type="spellStart"/>
            <w:r>
              <w:rPr>
                <w:rFonts w:ascii="Gill Sans" w:eastAsia="Gill Sans" w:hAnsi="Gill Sans" w:cs="Gill Sans"/>
              </w:rPr>
              <w:t>Kajee</w:t>
            </w:r>
            <w:proofErr w:type="spellEnd"/>
            <w:r>
              <w:rPr>
                <w:rFonts w:ascii="Gill Sans" w:eastAsia="Gill Sans" w:hAnsi="Gill Sans" w:cs="Gill Sans"/>
              </w:rPr>
              <w:t xml:space="preserve"> was barred from filing a plea, nothing precluded him from filing opposing papers in the Consolidation Application or seeking an extension of time to do so. Instead of making use of these options, </w:t>
            </w:r>
            <w:proofErr w:type="spellStart"/>
            <w:r>
              <w:rPr>
                <w:rFonts w:ascii="Gill Sans" w:eastAsia="Gill Sans" w:hAnsi="Gill Sans" w:cs="Gill Sans"/>
              </w:rPr>
              <w:t>Kajee</w:t>
            </w:r>
            <w:proofErr w:type="spellEnd"/>
            <w:r>
              <w:rPr>
                <w:rFonts w:ascii="Gill Sans" w:eastAsia="Gill Sans" w:hAnsi="Gill Sans" w:cs="Gill Sans"/>
              </w:rPr>
              <w:t xml:space="preserve"> brought an Irregular Step Application. </w:t>
            </w:r>
            <w:proofErr w:type="spellStart"/>
            <w:r>
              <w:rPr>
                <w:rFonts w:ascii="Gill Sans" w:eastAsia="Gill Sans" w:hAnsi="Gill Sans" w:cs="Gill Sans"/>
              </w:rPr>
              <w:t>Kajee</w:t>
            </w:r>
            <w:proofErr w:type="spellEnd"/>
            <w:r>
              <w:rPr>
                <w:rFonts w:ascii="Gill Sans" w:eastAsia="Gill Sans" w:hAnsi="Gill Sans" w:cs="Gill Sans"/>
              </w:rPr>
              <w:t xml:space="preserve"> failed to establish that the notice of motion in the Consolidation Application constituted an irregular step and to demonstrate what prejudice he stood to suffer if it was not set aside. The Tribunal found the Irregular Step Application to be frivolous and vexatious, and dismissed it with punitive costs. </w:t>
            </w:r>
          </w:p>
          <w:p w14:paraId="49F84AEE" w14:textId="77777777" w:rsidR="00747127" w:rsidRDefault="00747127" w:rsidP="00747127">
            <w:pPr>
              <w:spacing w:after="0" w:line="276" w:lineRule="auto"/>
              <w:jc w:val="both"/>
              <w:rPr>
                <w:rFonts w:ascii="Gill Sans" w:eastAsia="Gill Sans" w:hAnsi="Gill Sans" w:cs="Gill Sans"/>
              </w:rPr>
            </w:pPr>
          </w:p>
          <w:p w14:paraId="276A1AFB" w14:textId="555F74D6" w:rsidR="007957E2" w:rsidRDefault="00747127" w:rsidP="00747127">
            <w:pPr>
              <w:spacing w:after="0" w:line="276" w:lineRule="auto"/>
              <w:jc w:val="both"/>
              <w:rPr>
                <w:rFonts w:ascii="Gill Sans" w:eastAsia="Gill Sans" w:hAnsi="Gill Sans" w:cs="Gill Sans"/>
              </w:rPr>
            </w:pPr>
            <w:r>
              <w:rPr>
                <w:rFonts w:ascii="Gill Sans" w:eastAsia="Gill Sans" w:hAnsi="Gill Sans" w:cs="Gill Sans"/>
              </w:rPr>
              <w:t>In terms of the Consolidation Application, none of the respondents filed opposing papers and, based on the papers filed by the SIU, the Tribunal was satisfied that a proper case had been made out for the consolidation sought. The Consolidation Application was therefore granted.</w:t>
            </w:r>
          </w:p>
        </w:tc>
      </w:tr>
      <w:tr w:rsidR="007957E2" w14:paraId="379AB051" w14:textId="77777777">
        <w:tc>
          <w:tcPr>
            <w:tcW w:w="2689" w:type="dxa"/>
          </w:tcPr>
          <w:p w14:paraId="241AE48E"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t>Reported by</w:t>
            </w:r>
          </w:p>
          <w:p w14:paraId="36BEF427"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6DE0EE4C" w14:textId="77777777" w:rsidR="007957E2" w:rsidRDefault="00310AC2">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56A94A78" w14:textId="44F88643" w:rsidR="00D70D0D" w:rsidRDefault="00330919">
            <w:pPr>
              <w:spacing w:after="0" w:line="276" w:lineRule="auto"/>
              <w:jc w:val="both"/>
              <w:rPr>
                <w:rFonts w:ascii="Gill Sans" w:eastAsia="Gill Sans" w:hAnsi="Gill Sans" w:cs="Gill Sans"/>
              </w:rPr>
            </w:pPr>
            <w:r>
              <w:rPr>
                <w:rFonts w:ascii="Gill Sans" w:eastAsia="Gill Sans" w:hAnsi="Gill Sans" w:cs="Gill Sans"/>
              </w:rPr>
              <w:t>20 November 2023</w:t>
            </w:r>
          </w:p>
        </w:tc>
      </w:tr>
    </w:tbl>
    <w:p w14:paraId="446ADB48" w14:textId="77777777" w:rsidR="007957E2" w:rsidRDefault="007957E2">
      <w:pPr>
        <w:spacing w:after="0" w:line="276" w:lineRule="auto"/>
        <w:jc w:val="both"/>
        <w:rPr>
          <w:rFonts w:ascii="Gill Sans" w:eastAsia="Gill Sans" w:hAnsi="Gill Sans" w:cs="Gill Sans"/>
        </w:rPr>
      </w:pPr>
    </w:p>
    <w:p w14:paraId="526B3A6A" w14:textId="77777777" w:rsidR="007957E2" w:rsidRDefault="007957E2">
      <w:pPr>
        <w:rPr>
          <w:rFonts w:ascii="Gill Sans" w:eastAsia="Gill Sans" w:hAnsi="Gill Sans" w:cs="Gill Sans"/>
        </w:rPr>
      </w:pPr>
    </w:p>
    <w:p w14:paraId="76ACC581" w14:textId="77777777" w:rsidR="007957E2" w:rsidRDefault="007957E2"/>
    <w:p w14:paraId="5D21CD43" w14:textId="77777777" w:rsidR="007957E2" w:rsidRDefault="007957E2"/>
    <w:p w14:paraId="74CC76A7" w14:textId="77777777" w:rsidR="007957E2" w:rsidRDefault="007957E2"/>
    <w:sectPr w:rsidR="007957E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A216" w14:textId="77777777" w:rsidR="00310AC2" w:rsidRDefault="00310AC2">
      <w:pPr>
        <w:spacing w:after="0" w:line="240" w:lineRule="auto"/>
      </w:pPr>
      <w:r>
        <w:separator/>
      </w:r>
    </w:p>
  </w:endnote>
  <w:endnote w:type="continuationSeparator" w:id="0">
    <w:p w14:paraId="05B258E0" w14:textId="77777777" w:rsidR="00310AC2" w:rsidRDefault="0031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DEF15" w14:textId="77777777" w:rsidR="00310AC2" w:rsidRDefault="00310AC2">
      <w:pPr>
        <w:spacing w:after="0" w:line="240" w:lineRule="auto"/>
      </w:pPr>
      <w:r>
        <w:separator/>
      </w:r>
    </w:p>
  </w:footnote>
  <w:footnote w:type="continuationSeparator" w:id="0">
    <w:p w14:paraId="27018A8B" w14:textId="77777777" w:rsidR="00310AC2" w:rsidRDefault="00310AC2">
      <w:pPr>
        <w:spacing w:after="0" w:line="240" w:lineRule="auto"/>
      </w:pPr>
      <w:r>
        <w:continuationSeparator/>
      </w:r>
    </w:p>
  </w:footnote>
  <w:footnote w:id="1">
    <w:p w14:paraId="64C5F3AB" w14:textId="77777777" w:rsidR="007957E2" w:rsidRDefault="00310AC2">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1921D3EC" w14:textId="77777777" w:rsidR="007957E2" w:rsidRDefault="00310AC2">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14:paraId="41CBC553" w14:textId="77777777" w:rsidR="007957E2" w:rsidRDefault="00310AC2">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14:paraId="415DCAA8" w14:textId="77777777" w:rsidR="007957E2" w:rsidRDefault="00310AC2">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2"/>
    <w:rsid w:val="001160FB"/>
    <w:rsid w:val="00310AC2"/>
    <w:rsid w:val="00330919"/>
    <w:rsid w:val="00747127"/>
    <w:rsid w:val="007957E2"/>
    <w:rsid w:val="007C28ED"/>
    <w:rsid w:val="00892171"/>
    <w:rsid w:val="00973BCF"/>
    <w:rsid w:val="00D70D0D"/>
    <w:rsid w:val="00DA1DD0"/>
    <w:rsid w:val="00EA3A17"/>
    <w:rsid w:val="00FC7A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A65D"/>
  <w15:docId w15:val="{51AC759E-77F5-46EB-9B01-A620967B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33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akn/za/judgment/zast/2023/16/eng@2023-11-2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ekl8BB32RR3n/7yarb02viuZQ==">AMUW2mUoDUtCTotUaJ6n8qjg7bgHlp6ItaJ3nvKI0FfsuDNbPH0aAAnkA29aoaPTA1pgk2dXhAi6jjzERZY5NOjU0ePkhtiRr5ntfBVGp7qnUYLE5GtX7BFqJ0lpA8ULouCe7NidTpt+ZilKAUG81vruKa4PK/gSMw==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2024-01-10T07:29:00Z</dcterms:created>
  <dcterms:modified xsi:type="dcterms:W3CDTF">2024-01-10T07:29:00Z</dcterms:modified>
</cp:coreProperties>
</file>