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F8404" w14:textId="77777777" w:rsidR="00F5283F" w:rsidRDefault="00CA458C" w:rsidP="00720ACA">
      <w:pPr>
        <w:jc w:val="center"/>
      </w:pPr>
      <w:bookmarkStart w:id="0" w:name="_GoBack"/>
      <w:bookmarkEnd w:id="0"/>
      <w:r w:rsidRPr="00CA458C">
        <w:rPr>
          <w:noProof/>
          <w:lang w:eastAsia="en-ZA"/>
        </w:rPr>
        <w:drawing>
          <wp:inline distT="0" distB="0" distL="0" distR="0" wp14:anchorId="75862826" wp14:editId="36BF3237">
            <wp:extent cx="809625" cy="828675"/>
            <wp:effectExtent l="19050" t="0" r="9525" b="0"/>
            <wp:docPr id="1" name="Picture 1" descr="cid:image001.png@01CB1DF1.8574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1DF1.85740C50"/>
                    <pic:cNvPicPr>
                      <a:picLocks noChangeAspect="1" noChangeArrowheads="1"/>
                    </pic:cNvPicPr>
                  </pic:nvPicPr>
                  <pic:blipFill>
                    <a:blip r:embed="rId9" r:link="rId10" cstate="print"/>
                    <a:srcRect l="6632" r="12832"/>
                    <a:stretch>
                      <a:fillRect/>
                    </a:stretch>
                  </pic:blipFill>
                  <pic:spPr bwMode="auto">
                    <a:xfrm>
                      <a:off x="0" y="0"/>
                      <a:ext cx="809625" cy="828675"/>
                    </a:xfrm>
                    <a:prstGeom prst="rect">
                      <a:avLst/>
                    </a:prstGeom>
                    <a:noFill/>
                    <a:ln w="9525">
                      <a:noFill/>
                      <a:miter lim="800000"/>
                      <a:headEnd/>
                      <a:tailEnd/>
                    </a:ln>
                  </pic:spPr>
                </pic:pic>
              </a:graphicData>
            </a:graphic>
          </wp:inline>
        </w:drawing>
      </w:r>
    </w:p>
    <w:p w14:paraId="1AF84B0C" w14:textId="77777777" w:rsidR="00F5283F" w:rsidRDefault="00F5283F" w:rsidP="00720ACA">
      <w:pPr>
        <w:jc w:val="center"/>
      </w:pPr>
    </w:p>
    <w:p w14:paraId="4263CAAD" w14:textId="77777777" w:rsidR="001E5F5A" w:rsidRPr="00100894" w:rsidRDefault="001E5F5A" w:rsidP="00720ACA">
      <w:pPr>
        <w:jc w:val="center"/>
        <w:rPr>
          <w:b/>
        </w:rPr>
      </w:pPr>
      <w:r w:rsidRPr="00100894">
        <w:rPr>
          <w:b/>
        </w:rPr>
        <w:t>CONSTIT</w:t>
      </w:r>
      <w:r w:rsidR="00676CFE" w:rsidRPr="00100894">
        <w:rPr>
          <w:b/>
        </w:rPr>
        <w:t>UT</w:t>
      </w:r>
      <w:r w:rsidRPr="00100894">
        <w:rPr>
          <w:b/>
        </w:rPr>
        <w:t>IONAL COURT OF SOUTH AFRICA</w:t>
      </w:r>
    </w:p>
    <w:p w14:paraId="096314FC" w14:textId="77777777" w:rsidR="001E5F5A" w:rsidRPr="00100894" w:rsidRDefault="001E5F5A" w:rsidP="00AE4640"/>
    <w:p w14:paraId="3928BB9F" w14:textId="77777777" w:rsidR="006966FC" w:rsidRDefault="00AD7AB3" w:rsidP="00587A53">
      <w:pPr>
        <w:jc w:val="center"/>
        <w:rPr>
          <w:b/>
          <w:bCs/>
        </w:rPr>
      </w:pPr>
      <w:r>
        <w:rPr>
          <w:b/>
          <w:bCs/>
        </w:rPr>
        <w:t>James King N.O. and Others</w:t>
      </w:r>
      <w:r w:rsidR="00001A3B">
        <w:rPr>
          <w:b/>
          <w:bCs/>
        </w:rPr>
        <w:t xml:space="preserve"> </w:t>
      </w:r>
      <w:r w:rsidR="008376A5" w:rsidRPr="003E3480">
        <w:rPr>
          <w:b/>
          <w:bCs/>
        </w:rPr>
        <w:t xml:space="preserve">v </w:t>
      </w:r>
      <w:r>
        <w:rPr>
          <w:b/>
          <w:bCs/>
        </w:rPr>
        <w:t>Cornelius Albertus De Jager and Others</w:t>
      </w:r>
    </w:p>
    <w:p w14:paraId="6AB2A5D1" w14:textId="77777777" w:rsidR="00AD7AB3" w:rsidRPr="003E3480" w:rsidRDefault="00AD7AB3" w:rsidP="00587A53">
      <w:pPr>
        <w:jc w:val="center"/>
      </w:pPr>
      <w:r>
        <w:rPr>
          <w:b/>
          <w:bCs/>
        </w:rPr>
        <w:t>David Louis Ayscough Wilkinson and Another v Georgina Elizabeth Crawford N.O. and Others</w:t>
      </w:r>
    </w:p>
    <w:p w14:paraId="629021B5" w14:textId="77777777" w:rsidR="006966FC" w:rsidRDefault="006966FC" w:rsidP="006966FC">
      <w:pPr>
        <w:tabs>
          <w:tab w:val="right" w:pos="9360"/>
        </w:tabs>
        <w:ind w:right="284"/>
        <w:rPr>
          <w:bCs/>
          <w:sz w:val="26"/>
          <w:szCs w:val="26"/>
          <w:lang w:val="en-GB"/>
        </w:rPr>
      </w:pPr>
    </w:p>
    <w:p w14:paraId="4E6A1457" w14:textId="77777777" w:rsidR="00E07942" w:rsidRPr="008376A5" w:rsidRDefault="00D40819" w:rsidP="00720ACA">
      <w:pPr>
        <w:jc w:val="right"/>
        <w:rPr>
          <w:b/>
        </w:rPr>
      </w:pPr>
      <w:r w:rsidRPr="008376A5">
        <w:rPr>
          <w:b/>
        </w:rPr>
        <w:t>CCT</w:t>
      </w:r>
      <w:r w:rsidR="00720ACA" w:rsidRPr="008376A5">
        <w:rPr>
          <w:b/>
        </w:rPr>
        <w:t xml:space="preserve"> </w:t>
      </w:r>
      <w:r w:rsidR="00AD7AB3">
        <w:rPr>
          <w:b/>
        </w:rPr>
        <w:t>315/18 and CCT 130/19</w:t>
      </w:r>
    </w:p>
    <w:p w14:paraId="569B238C" w14:textId="77777777" w:rsidR="00D40819" w:rsidRPr="008376A5" w:rsidRDefault="00D40819" w:rsidP="00D866D7">
      <w:pPr>
        <w:jc w:val="center"/>
        <w:rPr>
          <w:b/>
        </w:rPr>
      </w:pPr>
      <w:r w:rsidRPr="008376A5">
        <w:rPr>
          <w:b/>
        </w:rPr>
        <w:t xml:space="preserve"> </w:t>
      </w:r>
    </w:p>
    <w:p w14:paraId="18AF98D0" w14:textId="77777777" w:rsidR="00E07942" w:rsidRPr="00100894" w:rsidRDefault="00E07942" w:rsidP="00720ACA">
      <w:pPr>
        <w:jc w:val="right"/>
        <w:rPr>
          <w:b/>
        </w:rPr>
      </w:pPr>
      <w:r w:rsidRPr="008376A5">
        <w:rPr>
          <w:b/>
        </w:rPr>
        <w:t xml:space="preserve">Date of hearing: </w:t>
      </w:r>
      <w:r w:rsidR="004358E5">
        <w:rPr>
          <w:b/>
        </w:rPr>
        <w:t>1</w:t>
      </w:r>
      <w:r w:rsidR="00AD7AB3">
        <w:rPr>
          <w:b/>
        </w:rPr>
        <w:t>1 February 2020</w:t>
      </w:r>
    </w:p>
    <w:p w14:paraId="23862D12" w14:textId="77777777" w:rsidR="00823B02" w:rsidRPr="00100894" w:rsidRDefault="00823B02" w:rsidP="00AE4640"/>
    <w:p w14:paraId="6D7BC648" w14:textId="77777777" w:rsidR="001E5F5A" w:rsidRPr="00100894" w:rsidRDefault="00526226" w:rsidP="00AE4640">
      <w:r w:rsidRPr="00100894">
        <w:t>________________________________________________________________________</w:t>
      </w:r>
    </w:p>
    <w:p w14:paraId="4072A195" w14:textId="77777777" w:rsidR="00526226" w:rsidRPr="00100894" w:rsidRDefault="00526226" w:rsidP="00526226">
      <w:pPr>
        <w:jc w:val="center"/>
        <w:rPr>
          <w:b/>
        </w:rPr>
      </w:pPr>
    </w:p>
    <w:p w14:paraId="08AD9A7D" w14:textId="77777777" w:rsidR="00526226" w:rsidRPr="00100894" w:rsidRDefault="001E5F5A" w:rsidP="00526226">
      <w:pPr>
        <w:jc w:val="center"/>
        <w:rPr>
          <w:b/>
        </w:rPr>
      </w:pPr>
      <w:r w:rsidRPr="00100894">
        <w:rPr>
          <w:b/>
        </w:rPr>
        <w:t>MEDIA SUMMARY</w:t>
      </w:r>
    </w:p>
    <w:p w14:paraId="070C5A39" w14:textId="77777777" w:rsidR="00526226" w:rsidRPr="00100894" w:rsidRDefault="00526226" w:rsidP="00526226">
      <w:pPr>
        <w:jc w:val="center"/>
      </w:pPr>
      <w:r w:rsidRPr="00100894">
        <w:t>________________________________________________________________________</w:t>
      </w:r>
    </w:p>
    <w:p w14:paraId="7FEDE1A5" w14:textId="77777777" w:rsidR="001E5F5A" w:rsidRPr="00100894" w:rsidRDefault="001E5F5A" w:rsidP="008B532D">
      <w:pPr>
        <w:spacing w:line="360" w:lineRule="auto"/>
        <w:jc w:val="left"/>
      </w:pPr>
    </w:p>
    <w:p w14:paraId="63F665D5" w14:textId="77777777" w:rsidR="001E5F5A" w:rsidRPr="00100894" w:rsidRDefault="001E5F5A" w:rsidP="006474CE">
      <w:pPr>
        <w:rPr>
          <w:i/>
        </w:rPr>
      </w:pPr>
      <w:r w:rsidRPr="00100894">
        <w:rPr>
          <w:i/>
        </w:rPr>
        <w:t xml:space="preserve">The following </w:t>
      </w:r>
      <w:r w:rsidR="008C3682" w:rsidRPr="00100894">
        <w:rPr>
          <w:i/>
        </w:rPr>
        <w:t xml:space="preserve">explanatory note </w:t>
      </w:r>
      <w:r w:rsidRPr="00100894">
        <w:rPr>
          <w:i/>
        </w:rPr>
        <w:t>is provided to assist the media in reporting this case and is not binding on the Constitutional Court or any member of the Court.</w:t>
      </w:r>
    </w:p>
    <w:p w14:paraId="7EAD95FC" w14:textId="77777777" w:rsidR="001E5F5A" w:rsidRPr="00100894" w:rsidRDefault="001E5F5A" w:rsidP="006474CE">
      <w:pPr>
        <w:rPr>
          <w:sz w:val="28"/>
          <w:szCs w:val="28"/>
        </w:rPr>
      </w:pPr>
    </w:p>
    <w:p w14:paraId="645FDD2E" w14:textId="217140CA" w:rsidR="00AD7AB3" w:rsidRDefault="006474CE" w:rsidP="00DE5133">
      <w:r>
        <w:t>On</w:t>
      </w:r>
      <w:r w:rsidR="00C5519A">
        <w:t xml:space="preserve"> Tuesday,</w:t>
      </w:r>
      <w:r>
        <w:t xml:space="preserve"> </w:t>
      </w:r>
      <w:r w:rsidR="00AD7AB3">
        <w:t>11 February 2020</w:t>
      </w:r>
      <w:r w:rsidR="008376A5">
        <w:t xml:space="preserve"> </w:t>
      </w:r>
      <w:r w:rsidR="00AC799A">
        <w:t xml:space="preserve">at </w:t>
      </w:r>
      <w:r w:rsidR="0007028D" w:rsidRPr="008D66B8">
        <w:t>10</w:t>
      </w:r>
      <w:r w:rsidR="00AC799A" w:rsidRPr="008D66B8">
        <w:t>h00</w:t>
      </w:r>
      <w:r w:rsidR="00C5519A">
        <w:t>,</w:t>
      </w:r>
      <w:r w:rsidR="00AC799A">
        <w:t xml:space="preserve"> </w:t>
      </w:r>
      <w:r w:rsidR="000D35AE" w:rsidRPr="00100894">
        <w:t xml:space="preserve">the </w:t>
      </w:r>
      <w:r w:rsidR="008C3682" w:rsidRPr="00100894">
        <w:t xml:space="preserve">Constitutional Court </w:t>
      </w:r>
      <w:r w:rsidR="00AD7AB3">
        <w:t xml:space="preserve">will hear two </w:t>
      </w:r>
      <w:r w:rsidR="001C68F2">
        <w:t xml:space="preserve">applications that have been </w:t>
      </w:r>
      <w:r w:rsidR="00C5519A">
        <w:t>consolidated</w:t>
      </w:r>
      <w:r w:rsidR="001C68F2">
        <w:t xml:space="preserve">. </w:t>
      </w:r>
      <w:r w:rsidR="00683DFE">
        <w:t xml:space="preserve"> </w:t>
      </w:r>
      <w:r w:rsidR="001C68F2">
        <w:t>These are</w:t>
      </w:r>
      <w:r w:rsidR="00AD7AB3">
        <w:t xml:space="preserve"> for leave to appeal against the judgments and orders </w:t>
      </w:r>
      <w:r w:rsidR="002A0556">
        <w:t>of the</w:t>
      </w:r>
      <w:r w:rsidR="00AD7AB3">
        <w:t xml:space="preserve"> Supreme C</w:t>
      </w:r>
      <w:r w:rsidR="002A0556">
        <w:t>ourt of Appeal</w:t>
      </w:r>
      <w:r w:rsidR="00AD7AB3">
        <w:t>.  The central question concerns the extent to which a court</w:t>
      </w:r>
      <w:r w:rsidR="0098596D">
        <w:t>, in our constitutional dispensation,</w:t>
      </w:r>
      <w:r w:rsidR="00AD7AB3">
        <w:t xml:space="preserve"> may encroach on</w:t>
      </w:r>
      <w:r w:rsidR="00C5519A">
        <w:t xml:space="preserve"> the principle of</w:t>
      </w:r>
      <w:r w:rsidR="00AD7AB3">
        <w:t xml:space="preserve"> freedom of testation in the context of private wills and trusts throu</w:t>
      </w:r>
      <w:r w:rsidR="0098596D">
        <w:t>gh the vehicle of public policy.</w:t>
      </w:r>
    </w:p>
    <w:p w14:paraId="4CB518A2" w14:textId="77777777" w:rsidR="0098596D" w:rsidRDefault="0098596D" w:rsidP="00DE5133"/>
    <w:p w14:paraId="5A7EE068" w14:textId="25DFB1C5" w:rsidR="00771B49" w:rsidRDefault="00AD7AB3" w:rsidP="00771B49">
      <w:r w:rsidRPr="00771B49">
        <w:t>The facts and issues pertaining to the first application are as follows</w:t>
      </w:r>
      <w:r w:rsidR="00D22FDB">
        <w:t>.</w:t>
      </w:r>
      <w:r w:rsidRPr="00771B49">
        <w:t xml:space="preserve">  On 28 November 1902, </w:t>
      </w:r>
      <w:r w:rsidR="001C68F2">
        <w:t xml:space="preserve">Mr </w:t>
      </w:r>
      <w:r w:rsidR="008D3074">
        <w:t>C</w:t>
      </w:r>
      <w:r w:rsidRPr="00771B49">
        <w:t xml:space="preserve">arel Johannes Cornelius </w:t>
      </w:r>
      <w:r w:rsidR="008D3074">
        <w:t>d</w:t>
      </w:r>
      <w:r w:rsidRPr="00771B49">
        <w:t>e Jager an</w:t>
      </w:r>
      <w:r w:rsidR="0098596D" w:rsidRPr="00771B49">
        <w:t xml:space="preserve">d </w:t>
      </w:r>
      <w:r w:rsidR="001C68F2">
        <w:t xml:space="preserve">Mrs </w:t>
      </w:r>
      <w:r w:rsidR="0098596D" w:rsidRPr="00771B49">
        <w:t>Catherin</w:t>
      </w:r>
      <w:r w:rsidR="008D3074">
        <w:t>e</w:t>
      </w:r>
      <w:r w:rsidR="0098596D" w:rsidRPr="00771B49">
        <w:t xml:space="preserve"> Dor</w:t>
      </w:r>
      <w:r w:rsidR="008D3074">
        <w:t>o</w:t>
      </w:r>
      <w:r w:rsidR="0098596D" w:rsidRPr="00771B49">
        <w:t xml:space="preserve">thea </w:t>
      </w:r>
      <w:r w:rsidR="008D3074">
        <w:t>d</w:t>
      </w:r>
      <w:r w:rsidR="0098596D" w:rsidRPr="00771B49">
        <w:t>e Jager (</w:t>
      </w:r>
      <w:r w:rsidR="001C68F2">
        <w:t>d</w:t>
      </w:r>
      <w:r w:rsidR="0098596D" w:rsidRPr="00771B49">
        <w:t>eceased’s grandparents</w:t>
      </w:r>
      <w:r w:rsidRPr="00771B49">
        <w:t>) executed a joint will (</w:t>
      </w:r>
      <w:r w:rsidR="003B746A" w:rsidRPr="00771B49">
        <w:t>W</w:t>
      </w:r>
      <w:r w:rsidRPr="00771B49">
        <w:t xml:space="preserve">ill) and bequeathed various properties </w:t>
      </w:r>
      <w:r w:rsidR="002A0556" w:rsidRPr="00771B49">
        <w:t xml:space="preserve">to their six children – </w:t>
      </w:r>
      <w:r w:rsidRPr="00771B49">
        <w:t xml:space="preserve">four sons and two daughters, subject to a </w:t>
      </w:r>
      <w:r w:rsidRPr="00771B49">
        <w:rPr>
          <w:i/>
        </w:rPr>
        <w:t>fideicommissum</w:t>
      </w:r>
      <w:r w:rsidR="005F6CDB">
        <w:t>.</w:t>
      </w:r>
      <w:r w:rsidR="00771B49" w:rsidRPr="00771B49">
        <w:t xml:space="preserve">  One of their sons, Cornelius, had three sons, namely, Corrie, John and Kalvyn (deceased).  Kalvyn de Jager died testate on 5 May 2015.  He had no sons but left five daughters (the second to sixth applicants).  His daughters had four sons, the fourth to eighth respondents.</w:t>
      </w:r>
    </w:p>
    <w:p w14:paraId="5073E2A7" w14:textId="77777777" w:rsidR="00771B49" w:rsidRDefault="00771B49" w:rsidP="00771B49"/>
    <w:p w14:paraId="08CAF797" w14:textId="23934C27" w:rsidR="00AD7AB3" w:rsidRPr="00771B49" w:rsidRDefault="005F6CDB" w:rsidP="005F6CDB">
      <w:r w:rsidRPr="00AB27E8">
        <w:rPr>
          <w:szCs w:val="26"/>
        </w:rPr>
        <w:t xml:space="preserve">The </w:t>
      </w:r>
      <w:r w:rsidRPr="00AB27E8">
        <w:rPr>
          <w:i/>
          <w:szCs w:val="26"/>
        </w:rPr>
        <w:t>fideicommissum</w:t>
      </w:r>
      <w:r w:rsidR="00306A24">
        <w:rPr>
          <w:szCs w:val="26"/>
        </w:rPr>
        <w:t xml:space="preserve"> was governed by</w:t>
      </w:r>
      <w:r>
        <w:rPr>
          <w:szCs w:val="26"/>
        </w:rPr>
        <w:t xml:space="preserve"> </w:t>
      </w:r>
      <w:r w:rsidRPr="00AB27E8">
        <w:rPr>
          <w:szCs w:val="26"/>
        </w:rPr>
        <w:t>clause 7</w:t>
      </w:r>
      <w:r>
        <w:rPr>
          <w:szCs w:val="26"/>
        </w:rPr>
        <w:t xml:space="preserve"> </w:t>
      </w:r>
      <w:r w:rsidR="00232C60" w:rsidRPr="00771B49">
        <w:t xml:space="preserve">of the Will, </w:t>
      </w:r>
      <w:r>
        <w:t xml:space="preserve">which stated that </w:t>
      </w:r>
      <w:r w:rsidR="00232C60" w:rsidRPr="00771B49">
        <w:t>beyond the first generation, the propert</w:t>
      </w:r>
      <w:r w:rsidR="00D22FDB">
        <w:t>ies</w:t>
      </w:r>
      <w:r w:rsidR="00232C60" w:rsidRPr="00771B49">
        <w:t xml:space="preserve"> would, as far as the second and third generations were concerned, not devolve upon their female descendants. </w:t>
      </w:r>
      <w:r>
        <w:t xml:space="preserve"> </w:t>
      </w:r>
      <w:r w:rsidR="00226304" w:rsidRPr="00771B49">
        <w:t xml:space="preserve">It is clear that until the death of the deceased, the terms of the </w:t>
      </w:r>
      <w:r w:rsidR="00226304" w:rsidRPr="00771B49">
        <w:rPr>
          <w:i/>
        </w:rPr>
        <w:t xml:space="preserve">fideicommissum </w:t>
      </w:r>
      <w:r w:rsidR="00226304" w:rsidRPr="00771B49">
        <w:t xml:space="preserve">were interpreted, in light of clause 7, as limiting the </w:t>
      </w:r>
      <w:r w:rsidR="00226304" w:rsidRPr="00771B49">
        <w:rPr>
          <w:i/>
        </w:rPr>
        <w:t>fideicommissary</w:t>
      </w:r>
      <w:r w:rsidR="00226304" w:rsidRPr="00771B49">
        <w:t xml:space="preserve"> beneficiaries to the sons of the testators’ children and, thereafter, their sons.  As such, the terms were interpreted as not applying to any female descendants.  Since </w:t>
      </w:r>
      <w:r w:rsidR="00EB0EE2">
        <w:t>t</w:t>
      </w:r>
      <w:r w:rsidR="00226304" w:rsidRPr="00771B49">
        <w:t xml:space="preserve">he </w:t>
      </w:r>
      <w:r w:rsidR="00EB0EE2">
        <w:t xml:space="preserve">deceased </w:t>
      </w:r>
      <w:r w:rsidR="00226304" w:rsidRPr="00771B49">
        <w:t xml:space="preserve">had no male descendants, the problem arose after </w:t>
      </w:r>
      <w:r w:rsidR="00EB0EE2">
        <w:t xml:space="preserve">his </w:t>
      </w:r>
      <w:r w:rsidR="00226304" w:rsidRPr="00771B49">
        <w:t xml:space="preserve">death.  </w:t>
      </w:r>
      <w:r w:rsidR="002A0556" w:rsidRPr="00771B49">
        <w:t>T</w:t>
      </w:r>
      <w:r w:rsidR="00226304" w:rsidRPr="00771B49">
        <w:t>he d</w:t>
      </w:r>
      <w:r w:rsidR="0098596D" w:rsidRPr="00771B49">
        <w:t xml:space="preserve">eceased’s </w:t>
      </w:r>
      <w:r w:rsidR="0098596D" w:rsidRPr="00771B49">
        <w:lastRenderedPageBreak/>
        <w:t xml:space="preserve">daughters claimed that </w:t>
      </w:r>
      <w:r w:rsidR="008E5BBD" w:rsidRPr="00771B49">
        <w:t>certain portions of clause 7</w:t>
      </w:r>
      <w:r w:rsidR="0098596D" w:rsidRPr="00771B49">
        <w:t xml:space="preserve"> </w:t>
      </w:r>
      <w:r w:rsidR="008E5BBD" w:rsidRPr="00771B49">
        <w:t xml:space="preserve">of </w:t>
      </w:r>
      <w:r>
        <w:t>the W</w:t>
      </w:r>
      <w:r w:rsidR="00226304" w:rsidRPr="00771B49">
        <w:t xml:space="preserve">ill </w:t>
      </w:r>
      <w:r w:rsidR="008E5BBD" w:rsidRPr="00771B49">
        <w:t xml:space="preserve">unfairly discriminated against them on the basis of gender </w:t>
      </w:r>
      <w:r w:rsidR="00226304" w:rsidRPr="00771B49">
        <w:t xml:space="preserve">as </w:t>
      </w:r>
      <w:r w:rsidR="003D196A">
        <w:t xml:space="preserve">it excludes </w:t>
      </w:r>
      <w:r w:rsidR="00226304" w:rsidRPr="00771B49">
        <w:t>females fro</w:t>
      </w:r>
      <w:r w:rsidR="0098596D" w:rsidRPr="00771B49">
        <w:t>m inheriting.  They claimed</w:t>
      </w:r>
      <w:r w:rsidR="00226304" w:rsidRPr="00771B49">
        <w:t xml:space="preserve"> they were entitled to inherit from their father’s estate.</w:t>
      </w:r>
    </w:p>
    <w:p w14:paraId="6D8903F1" w14:textId="77777777" w:rsidR="00226304" w:rsidRPr="00771B49" w:rsidRDefault="00226304" w:rsidP="00771B49"/>
    <w:p w14:paraId="3C691535" w14:textId="055950D0" w:rsidR="002A0556" w:rsidRPr="00771B49" w:rsidRDefault="00226304" w:rsidP="00771B49">
      <w:r w:rsidRPr="00771B49">
        <w:t>The applicant</w:t>
      </w:r>
      <w:r w:rsidR="00EB0EE2">
        <w:t>, one of the executors of the deceased’s estate, then</w:t>
      </w:r>
      <w:r w:rsidRPr="00771B49">
        <w:t xml:space="preserve"> approached the </w:t>
      </w:r>
      <w:r w:rsidR="002A0556" w:rsidRPr="00771B49">
        <w:t xml:space="preserve">High Court </w:t>
      </w:r>
      <w:r w:rsidRPr="00771B49">
        <w:t>for an order declaring</w:t>
      </w:r>
      <w:r w:rsidR="005F6CDB">
        <w:t xml:space="preserve"> the offending portions of the Will invalid and amend</w:t>
      </w:r>
      <w:r w:rsidR="00E76C0F">
        <w:t>ing</w:t>
      </w:r>
      <w:r w:rsidR="005F6CDB">
        <w:t xml:space="preserve"> the W</w:t>
      </w:r>
      <w:r w:rsidRPr="00771B49">
        <w:t>ill to include a provision that would enable females or</w:t>
      </w:r>
      <w:r w:rsidR="00D22FDB">
        <w:t xml:space="preserve"> the </w:t>
      </w:r>
      <w:r w:rsidRPr="00771B49">
        <w:t xml:space="preserve">daughters to inherit the </w:t>
      </w:r>
      <w:r w:rsidRPr="00771B49">
        <w:rPr>
          <w:i/>
        </w:rPr>
        <w:t>fideicommissary</w:t>
      </w:r>
      <w:r w:rsidRPr="00771B49">
        <w:t xml:space="preserve"> properties.  The application was opposed by t</w:t>
      </w:r>
      <w:r w:rsidR="002A0556" w:rsidRPr="00771B49">
        <w:t>he first to third respondents.</w:t>
      </w:r>
    </w:p>
    <w:p w14:paraId="265F7862" w14:textId="77777777" w:rsidR="002A0556" w:rsidRPr="00771B49" w:rsidRDefault="002A0556" w:rsidP="00771B49"/>
    <w:p w14:paraId="379A112F" w14:textId="6DDB5A42" w:rsidR="002A0556" w:rsidRPr="00771B49" w:rsidRDefault="00226304" w:rsidP="00771B49">
      <w:r w:rsidRPr="00771B49">
        <w:t>The High Court was called upon to determine two</w:t>
      </w:r>
      <w:r w:rsidR="0031718F">
        <w:t xml:space="preserve"> main issues</w:t>
      </w:r>
      <w:r w:rsidRPr="00771B49">
        <w:t>: first, to</w:t>
      </w:r>
      <w:r w:rsidR="003B1BAB" w:rsidRPr="00771B49">
        <w:t xml:space="preserve"> reconcile </w:t>
      </w:r>
      <w:r w:rsidR="0098596D" w:rsidRPr="00771B49">
        <w:t xml:space="preserve">a </w:t>
      </w:r>
      <w:r w:rsidR="003B1BAB" w:rsidRPr="00771B49">
        <w:t>potential conflict</w:t>
      </w:r>
      <w:r w:rsidRPr="00771B49">
        <w:t xml:space="preserve"> between the right to freedom of testation and the right to equality</w:t>
      </w:r>
      <w:r w:rsidR="00E76C0F">
        <w:t>;</w:t>
      </w:r>
      <w:r w:rsidRPr="00771B49">
        <w:t xml:space="preserve"> and, second, the correct interpretation of the words </w:t>
      </w:r>
      <w:r w:rsidR="003B1BAB" w:rsidRPr="00771B49">
        <w:t>“</w:t>
      </w:r>
      <w:r w:rsidRPr="005F6CDB">
        <w:rPr>
          <w:i/>
        </w:rPr>
        <w:t>sons</w:t>
      </w:r>
      <w:r w:rsidRPr="00771B49">
        <w:t>” and “</w:t>
      </w:r>
      <w:r w:rsidRPr="005F6CDB">
        <w:rPr>
          <w:i/>
        </w:rPr>
        <w:t>male descendants</w:t>
      </w:r>
      <w:r w:rsidRPr="00771B49">
        <w:t>”</w:t>
      </w:r>
      <w:r w:rsidRPr="00771B49">
        <w:rPr>
          <w:i/>
        </w:rPr>
        <w:t xml:space="preserve"> </w:t>
      </w:r>
      <w:r w:rsidRPr="00771B49">
        <w:t>in clause 7, insofar as remoteness is concerned.</w:t>
      </w:r>
      <w:r w:rsidR="003B1BAB" w:rsidRPr="00771B49">
        <w:t xml:space="preserve">  The High Court </w:t>
      </w:r>
      <w:r w:rsidR="004061F1" w:rsidRPr="00771B49">
        <w:t>(per Bozalek J)</w:t>
      </w:r>
      <w:r w:rsidR="0098596D" w:rsidRPr="00771B49">
        <w:t xml:space="preserve"> </w:t>
      </w:r>
      <w:r w:rsidR="001C68F2">
        <w:t xml:space="preserve">held </w:t>
      </w:r>
      <w:r w:rsidR="00306A24">
        <w:t>that</w:t>
      </w:r>
      <w:r w:rsidR="003B1BAB" w:rsidRPr="00771B49">
        <w:t xml:space="preserve"> </w:t>
      </w:r>
      <w:r w:rsidR="001C68F2">
        <w:t xml:space="preserve">clause 7 </w:t>
      </w:r>
      <w:r w:rsidR="003B1BAB" w:rsidRPr="00771B49">
        <w:t>was not</w:t>
      </w:r>
      <w:r w:rsidR="002A0556" w:rsidRPr="00771B49">
        <w:t xml:space="preserve"> unreasonable and offensive</w:t>
      </w:r>
      <w:r w:rsidR="003B1BAB" w:rsidRPr="00771B49">
        <w:t xml:space="preserve"> to the extent that it c</w:t>
      </w:r>
      <w:r w:rsidR="001C68F2">
        <w:t>ould</w:t>
      </w:r>
      <w:r w:rsidR="003B1BAB" w:rsidRPr="00771B49">
        <w:t xml:space="preserve"> be rendered contrary to public policy</w:t>
      </w:r>
      <w:r w:rsidR="00306A24">
        <w:t xml:space="preserve">. </w:t>
      </w:r>
      <w:r w:rsidR="003B1BAB" w:rsidRPr="00771B49">
        <w:t xml:space="preserve"> </w:t>
      </w:r>
      <w:r w:rsidR="00A04BFB" w:rsidRPr="00771B49">
        <w:t>A weighty consideration for the High Court was the distinction between public and private testamentary instruments.  Since this matter dealt with a private will</w:t>
      </w:r>
      <w:r w:rsidR="002A0556" w:rsidRPr="00771B49">
        <w:t>,</w:t>
      </w:r>
      <w:r w:rsidR="00A04BFB" w:rsidRPr="00771B49">
        <w:t xml:space="preserve"> </w:t>
      </w:r>
      <w:r w:rsidR="001C68F2">
        <w:t xml:space="preserve">the High Court held that </w:t>
      </w:r>
      <w:r w:rsidR="00A04BFB" w:rsidRPr="00771B49">
        <w:t xml:space="preserve">it did not have a public character </w:t>
      </w:r>
      <w:r w:rsidR="0020056C">
        <w:t>n</w:t>
      </w:r>
      <w:r w:rsidR="00A04BFB" w:rsidRPr="00771B49">
        <w:t>or indefinite life, and its provisions did not discriminate against one or more sectors of society but, rather, against certain descendants.</w:t>
      </w:r>
      <w:r w:rsidR="003B1BAB" w:rsidRPr="00771B49">
        <w:t xml:space="preserve"> </w:t>
      </w:r>
      <w:r w:rsidR="00306A24">
        <w:t xml:space="preserve"> </w:t>
      </w:r>
      <w:r w:rsidR="001C68F2">
        <w:t>Thus, the</w:t>
      </w:r>
      <w:r w:rsidR="00E76C0F">
        <w:t xml:space="preserve"> High</w:t>
      </w:r>
      <w:r w:rsidR="001C68F2">
        <w:t xml:space="preserve"> Court dismissed the constitutional challenge</w:t>
      </w:r>
      <w:r w:rsidR="001C68F2" w:rsidRPr="00771B49">
        <w:t xml:space="preserve">.  </w:t>
      </w:r>
      <w:r w:rsidR="003B1BAB" w:rsidRPr="00771B49">
        <w:t>In the result, the High Court dismissed the claims of the second to sixth applicants and the fourth to eighth respondents with no order as to costs.</w:t>
      </w:r>
    </w:p>
    <w:p w14:paraId="2C91F9CA" w14:textId="77777777" w:rsidR="002A0556" w:rsidRPr="00771B49" w:rsidRDefault="002A0556" w:rsidP="00771B49"/>
    <w:p w14:paraId="77287952" w14:textId="4299E5F9" w:rsidR="00AD7AB3" w:rsidRPr="00771B49" w:rsidRDefault="00E76C0F" w:rsidP="00771B49">
      <w:r>
        <w:t>The matter was di</w:t>
      </w:r>
      <w:r w:rsidR="0020056C">
        <w:t>s</w:t>
      </w:r>
      <w:r>
        <w:t>missed on appeal by the Supreme Court of Appeal o</w:t>
      </w:r>
      <w:r w:rsidR="003B1BAB" w:rsidRPr="00771B49">
        <w:t xml:space="preserve">n 13 November 2018, </w:t>
      </w:r>
      <w:r>
        <w:t xml:space="preserve">which </w:t>
      </w:r>
      <w:r w:rsidR="003B1BAB" w:rsidRPr="00771B49">
        <w:t>endorsed the reasoning of the High Court.</w:t>
      </w:r>
    </w:p>
    <w:p w14:paraId="66C32ECE" w14:textId="77777777" w:rsidR="00AD7AB3" w:rsidRPr="00771B49" w:rsidRDefault="00AD7AB3" w:rsidP="00771B49"/>
    <w:p w14:paraId="68E783F4" w14:textId="0CA1264A" w:rsidR="00AD7AB3" w:rsidRPr="00771B49" w:rsidRDefault="00F95F94" w:rsidP="00771B49">
      <w:r>
        <w:t>Unhappy with the</w:t>
      </w:r>
      <w:r w:rsidR="005F6CDB">
        <w:t xml:space="preserve"> </w:t>
      </w:r>
      <w:r w:rsidR="00E76C0F">
        <w:t xml:space="preserve">decision </w:t>
      </w:r>
      <w:r w:rsidR="005F6CDB">
        <w:t>of the S</w:t>
      </w:r>
      <w:r w:rsidR="00E76C0F">
        <w:t xml:space="preserve">upreme </w:t>
      </w:r>
      <w:r w:rsidR="005F6CDB">
        <w:t>C</w:t>
      </w:r>
      <w:r w:rsidR="00E76C0F">
        <w:t xml:space="preserve">ourt of </w:t>
      </w:r>
      <w:r w:rsidR="005F6CDB">
        <w:t>A</w:t>
      </w:r>
      <w:r w:rsidR="00E76C0F">
        <w:t>ppeal</w:t>
      </w:r>
      <w:r w:rsidR="005F6CDB">
        <w:t>, t</w:t>
      </w:r>
      <w:r w:rsidR="003B1BAB" w:rsidRPr="00771B49">
        <w:t>he applicants then applied for leave to appeal to the Constitutional Court</w:t>
      </w:r>
      <w:r w:rsidR="005F6CDB">
        <w:t>.</w:t>
      </w:r>
      <w:r w:rsidR="003B1BAB" w:rsidRPr="00771B49">
        <w:t xml:space="preserve">  </w:t>
      </w:r>
      <w:r w:rsidR="00534D77">
        <w:t xml:space="preserve">Firstly, </w:t>
      </w:r>
      <w:r w:rsidR="000A2712">
        <w:t xml:space="preserve">they contend </w:t>
      </w:r>
      <w:r w:rsidR="000A2712" w:rsidRPr="000A2712">
        <w:t xml:space="preserve">that </w:t>
      </w:r>
      <w:r w:rsidR="009E70CC">
        <w:t xml:space="preserve">clause 7 of </w:t>
      </w:r>
      <w:r w:rsidR="000A2712" w:rsidRPr="000A2712">
        <w:t xml:space="preserve">the Will as it currently stands unfairly discriminates on the basis of gender and </w:t>
      </w:r>
      <w:r w:rsidR="009E70CC">
        <w:t xml:space="preserve">ought to be amended by a court on grounds of public policy with the effect of deleting </w:t>
      </w:r>
      <w:r w:rsidR="000A2712">
        <w:t>the word “</w:t>
      </w:r>
      <w:r w:rsidR="000A2712">
        <w:rPr>
          <w:i/>
        </w:rPr>
        <w:t>sons”</w:t>
      </w:r>
      <w:r w:rsidR="000A2712">
        <w:t xml:space="preserve"> and replacing it with the word “</w:t>
      </w:r>
      <w:r w:rsidR="000A2712" w:rsidRPr="00C24A35">
        <w:rPr>
          <w:i/>
        </w:rPr>
        <w:t>children</w:t>
      </w:r>
      <w:r w:rsidR="000A2712">
        <w:t>”</w:t>
      </w:r>
      <w:r w:rsidR="009E70CC">
        <w:t xml:space="preserve">.  </w:t>
      </w:r>
      <w:r w:rsidR="00A20D85" w:rsidRPr="00771B49">
        <w:t>Second</w:t>
      </w:r>
      <w:r w:rsidR="00081CB0">
        <w:t>ly</w:t>
      </w:r>
      <w:r w:rsidR="00A20D85" w:rsidRPr="00771B49">
        <w:t xml:space="preserve">, </w:t>
      </w:r>
      <w:r w:rsidR="001E2BE7">
        <w:t xml:space="preserve">that </w:t>
      </w:r>
      <w:r w:rsidR="003B1BAB" w:rsidRPr="00771B49">
        <w:t>the High Court erred in its interpretation of “</w:t>
      </w:r>
      <w:r w:rsidR="003B1BAB" w:rsidRPr="0012226E">
        <w:rPr>
          <w:i/>
        </w:rPr>
        <w:t>male descendants</w:t>
      </w:r>
      <w:r w:rsidR="003B1BAB" w:rsidRPr="00771B49">
        <w:t>”</w:t>
      </w:r>
      <w:r w:rsidR="00A20D85" w:rsidRPr="00771B49">
        <w:t xml:space="preserve"> and “</w:t>
      </w:r>
      <w:r w:rsidR="00A20D85" w:rsidRPr="0012226E">
        <w:rPr>
          <w:i/>
        </w:rPr>
        <w:t>sons</w:t>
      </w:r>
      <w:r w:rsidR="009E70CC" w:rsidRPr="00771B49">
        <w:t>”</w:t>
      </w:r>
      <w:r w:rsidR="00803277">
        <w:t xml:space="preserve"> as being limited to great-grandsons</w:t>
      </w:r>
      <w:r w:rsidR="009E70CC">
        <w:t>.</w:t>
      </w:r>
      <w:r w:rsidR="00A20D85" w:rsidRPr="00771B49">
        <w:t xml:space="preserve">  </w:t>
      </w:r>
      <w:r>
        <w:t>T</w:t>
      </w:r>
      <w:r w:rsidR="00A20D85" w:rsidRPr="00771B49">
        <w:t>he respondents</w:t>
      </w:r>
      <w:r>
        <w:t>, on the other hand,</w:t>
      </w:r>
      <w:r w:rsidR="00A20D85" w:rsidRPr="00771B49">
        <w:t xml:space="preserve"> </w:t>
      </w:r>
      <w:r w:rsidR="00D72E19">
        <w:t xml:space="preserve">submit </w:t>
      </w:r>
      <w:r w:rsidR="00A20D85" w:rsidRPr="00771B49">
        <w:t xml:space="preserve">that unfair discrimination on </w:t>
      </w:r>
      <w:r w:rsidR="00C74176" w:rsidRPr="00771B49">
        <w:t xml:space="preserve">a gender basis </w:t>
      </w:r>
      <w:r w:rsidR="0063103F">
        <w:t>in</w:t>
      </w:r>
      <w:r w:rsidR="0063103F" w:rsidRPr="00771B49">
        <w:t xml:space="preserve"> </w:t>
      </w:r>
      <w:r w:rsidR="00C74176" w:rsidRPr="00771B49">
        <w:t>a private will, in the absence of a specific justification for disinheriting potential beneficiaries of a particular gender</w:t>
      </w:r>
      <w:r w:rsidR="00C74176" w:rsidRPr="00306A24">
        <w:t>, cannot</w:t>
      </w:r>
      <w:r w:rsidR="00C74176" w:rsidRPr="00771B49">
        <w:t xml:space="preserve"> be justified under section 36 of the Constitution.  The interpretation of the words “</w:t>
      </w:r>
      <w:r w:rsidR="00C74176" w:rsidRPr="00F95F94">
        <w:rPr>
          <w:i/>
        </w:rPr>
        <w:t>male descendants</w:t>
      </w:r>
      <w:r w:rsidR="00C74176" w:rsidRPr="00771B49">
        <w:t>” involves the application of trite unchallenged principles of testamentary provisions.</w:t>
      </w:r>
    </w:p>
    <w:p w14:paraId="14BE0FCB" w14:textId="77777777" w:rsidR="00A04BFB" w:rsidRPr="00771B49" w:rsidRDefault="00A04BFB" w:rsidP="00771B49"/>
    <w:p w14:paraId="5A70A4A7" w14:textId="77777777" w:rsidR="00920448" w:rsidRDefault="00C74176" w:rsidP="00771B49">
      <w:r w:rsidRPr="00771B49">
        <w:t xml:space="preserve">The facts and issues regarding the second application are as follows.  </w:t>
      </w:r>
      <w:r w:rsidR="00920448" w:rsidRPr="00771B49">
        <w:t>Both applicants are the adopted children of the now deceased Dulcie Helena Harper (Harper), who was the only surviving child of the late L</w:t>
      </w:r>
      <w:r w:rsidR="0098596D" w:rsidRPr="00771B49">
        <w:t>ouis John Druiff (the d</w:t>
      </w:r>
      <w:r w:rsidR="00920448" w:rsidRPr="00771B49">
        <w:t>onor) at the time of the original application.</w:t>
      </w:r>
    </w:p>
    <w:p w14:paraId="618BC1AE" w14:textId="77777777" w:rsidR="00803277" w:rsidRPr="00771B49" w:rsidRDefault="00803277" w:rsidP="00771B49"/>
    <w:p w14:paraId="2E698691" w14:textId="1D46A7F2" w:rsidR="00920448" w:rsidRPr="00771B49" w:rsidRDefault="0098596D" w:rsidP="00771B49">
      <w:r w:rsidRPr="00771B49">
        <w:t>On 28 January 1953, the d</w:t>
      </w:r>
      <w:r w:rsidR="00A04BFB" w:rsidRPr="00771B49">
        <w:t>onor exe</w:t>
      </w:r>
      <w:r w:rsidRPr="00771B49">
        <w:t>cuted a notarial deed of t</w:t>
      </w:r>
      <w:r w:rsidR="00A04BFB" w:rsidRPr="00771B49">
        <w:t>rust (</w:t>
      </w:r>
      <w:r w:rsidRPr="00771B49">
        <w:t>trust d</w:t>
      </w:r>
      <w:r w:rsidR="00A04BFB" w:rsidRPr="00771B49">
        <w:t xml:space="preserve">eed).  </w:t>
      </w:r>
      <w:r w:rsidRPr="00771B49">
        <w:t>The beneficiaries of the trust deed were the d</w:t>
      </w:r>
      <w:r w:rsidR="00A04BFB" w:rsidRPr="00771B49">
        <w:t>onor’s four chi</w:t>
      </w:r>
      <w:r w:rsidRPr="00771B49">
        <w:t>ldren and their children.  The trust d</w:t>
      </w:r>
      <w:r w:rsidR="00A04BFB" w:rsidRPr="00771B49">
        <w:t>eed stipula</w:t>
      </w:r>
      <w:r w:rsidRPr="00771B49">
        <w:t>ted that upon the death of the d</w:t>
      </w:r>
      <w:r w:rsidR="00A04BFB" w:rsidRPr="00771B49">
        <w:t xml:space="preserve">onor, the net revenue and income shall be divided equally between </w:t>
      </w:r>
      <w:r w:rsidRPr="00771B49">
        <w:t>the donor’s children</w:t>
      </w:r>
      <w:r w:rsidR="00662CA7">
        <w:t>.  In the event that any child had</w:t>
      </w:r>
      <w:r w:rsidR="00A04BFB" w:rsidRPr="00771B49">
        <w:t xml:space="preserve"> died at </w:t>
      </w:r>
      <w:r w:rsidR="00306A24">
        <w:t xml:space="preserve">that </w:t>
      </w:r>
      <w:r w:rsidR="00306A24" w:rsidRPr="00771B49">
        <w:lastRenderedPageBreak/>
        <w:t>time</w:t>
      </w:r>
      <w:r w:rsidR="00A04BFB" w:rsidRPr="00771B49">
        <w:t xml:space="preserve">, his or her share </w:t>
      </w:r>
      <w:r w:rsidR="00662CA7">
        <w:t>would</w:t>
      </w:r>
      <w:r w:rsidR="00A04BFB" w:rsidRPr="00771B49">
        <w:t xml:space="preserve"> devolve upon his or her descendants </w:t>
      </w:r>
      <w:r w:rsidR="00A04BFB" w:rsidRPr="004F4079">
        <w:rPr>
          <w:i/>
        </w:rPr>
        <w:t>per stirpes</w:t>
      </w:r>
      <w:r w:rsidR="004F4079" w:rsidRPr="004F4079">
        <w:rPr>
          <w:i/>
        </w:rPr>
        <w:t>.</w:t>
      </w:r>
      <w:r w:rsidR="004F4079" w:rsidRPr="004F4079">
        <w:t xml:space="preserve"> </w:t>
      </w:r>
      <w:r w:rsidR="004F4079">
        <w:t xml:space="preserve"> </w:t>
      </w:r>
      <w:r w:rsidR="00920448" w:rsidRPr="004F4079">
        <w:t>A</w:t>
      </w:r>
      <w:r w:rsidRPr="004F4079">
        <w:t>t</w:t>
      </w:r>
      <w:r w:rsidRPr="00771B49">
        <w:t xml:space="preserve"> the time of execution of the trust deed</w:t>
      </w:r>
      <w:r w:rsidR="004F4079" w:rsidRPr="00771B49">
        <w:t>,</w:t>
      </w:r>
      <w:r w:rsidR="004F4079">
        <w:t xml:space="preserve"> </w:t>
      </w:r>
      <w:r w:rsidR="00920448" w:rsidRPr="00771B49">
        <w:t xml:space="preserve">three of </w:t>
      </w:r>
      <w:r w:rsidR="00E818CB" w:rsidRPr="00771B49">
        <w:t xml:space="preserve">the donor’s children </w:t>
      </w:r>
      <w:r w:rsidR="00920448" w:rsidRPr="00771B49">
        <w:t xml:space="preserve">already had </w:t>
      </w:r>
      <w:r w:rsidR="00E818CB" w:rsidRPr="00771B49">
        <w:t>children of their own</w:t>
      </w:r>
      <w:r w:rsidR="00920448" w:rsidRPr="00771B49">
        <w:t xml:space="preserve">.  </w:t>
      </w:r>
      <w:r w:rsidR="00EA42F7" w:rsidRPr="00771B49">
        <w:t>Upon the d</w:t>
      </w:r>
      <w:r w:rsidR="00920448" w:rsidRPr="00771B49">
        <w:t xml:space="preserve">onor’s death, quarter shares of </w:t>
      </w:r>
      <w:r w:rsidR="00662CA7">
        <w:t xml:space="preserve">the </w:t>
      </w:r>
      <w:r w:rsidR="00920448" w:rsidRPr="00771B49">
        <w:t>capital duly devolved upon his children.</w:t>
      </w:r>
      <w:r w:rsidR="00E818CB" w:rsidRPr="00771B49">
        <w:t xml:space="preserve"> </w:t>
      </w:r>
      <w:r w:rsidR="004F4079">
        <w:t xml:space="preserve"> </w:t>
      </w:r>
      <w:r w:rsidR="00E818CB" w:rsidRPr="00771B49">
        <w:t>Subsequent to the donor’s death, Harper lawfully adopted two children.</w:t>
      </w:r>
    </w:p>
    <w:p w14:paraId="215C31BC" w14:textId="77777777" w:rsidR="00920448" w:rsidRPr="00771B49" w:rsidRDefault="00920448" w:rsidP="00771B49"/>
    <w:p w14:paraId="68ECB097" w14:textId="3AA5B832" w:rsidR="00AD7AB3" w:rsidRPr="00771B49" w:rsidRDefault="00920448" w:rsidP="00771B49">
      <w:r w:rsidRPr="00771B49">
        <w:t xml:space="preserve">When uncertainty arose with regard to whether adopted children would also receive </w:t>
      </w:r>
      <w:r w:rsidR="00354E02">
        <w:t>her</w:t>
      </w:r>
      <w:r w:rsidRPr="00771B49">
        <w:t xml:space="preserve"> quarter-share of the capital</w:t>
      </w:r>
      <w:r w:rsidR="00354E02">
        <w:t xml:space="preserve"> upon her death</w:t>
      </w:r>
      <w:r w:rsidRPr="00771B49">
        <w:t>, Harper appro</w:t>
      </w:r>
      <w:r w:rsidR="0098596D" w:rsidRPr="00771B49">
        <w:t>ached the High Court for an</w:t>
      </w:r>
      <w:r w:rsidRPr="00771B49">
        <w:t xml:space="preserve"> order declaring that the words “</w:t>
      </w:r>
      <w:r w:rsidRPr="004F4079">
        <w:rPr>
          <w:i/>
        </w:rPr>
        <w:t>children</w:t>
      </w:r>
      <w:r w:rsidRPr="00771B49">
        <w:t>”, “</w:t>
      </w:r>
      <w:r w:rsidRPr="004F4079">
        <w:rPr>
          <w:i/>
        </w:rPr>
        <w:t>descendants</w:t>
      </w:r>
      <w:r w:rsidRPr="00771B49">
        <w:t>”, “</w:t>
      </w:r>
      <w:r w:rsidRPr="004F4079">
        <w:rPr>
          <w:i/>
        </w:rPr>
        <w:t>issue</w:t>
      </w:r>
      <w:r w:rsidRPr="00771B49">
        <w:t>” and “</w:t>
      </w:r>
      <w:r w:rsidR="0098596D" w:rsidRPr="004F4079">
        <w:rPr>
          <w:i/>
        </w:rPr>
        <w:t>legal descendants</w:t>
      </w:r>
      <w:r w:rsidR="0098596D" w:rsidRPr="00771B49">
        <w:t>” used in the trust d</w:t>
      </w:r>
      <w:r w:rsidRPr="00771B49">
        <w:t>eed, be interpreted to include Harper</w:t>
      </w:r>
      <w:r w:rsidR="00E818CB" w:rsidRPr="00771B49">
        <w:t>’s children</w:t>
      </w:r>
      <w:r w:rsidRPr="00771B49">
        <w:t>, notwithstanding that they were adopted.  Alternatively, in terms of section 13 of the Trust Prope</w:t>
      </w:r>
      <w:r w:rsidR="0098596D" w:rsidRPr="00771B49">
        <w:t>rty Control Act</w:t>
      </w:r>
      <w:r w:rsidR="00EA42F7" w:rsidRPr="00771B49">
        <w:t xml:space="preserve"> 57 of 1988</w:t>
      </w:r>
      <w:r w:rsidR="00774E4D" w:rsidRPr="00771B49">
        <w:t xml:space="preserve"> (Trust Act)</w:t>
      </w:r>
      <w:r w:rsidR="0098596D" w:rsidRPr="00771B49">
        <w:t>,</w:t>
      </w:r>
      <w:r w:rsidR="00E818CB" w:rsidRPr="00771B49">
        <w:t xml:space="preserve"> Harper sought</w:t>
      </w:r>
      <w:r w:rsidR="000F2426">
        <w:t xml:space="preserve"> that</w:t>
      </w:r>
      <w:r w:rsidR="0098596D" w:rsidRPr="00771B49">
        <w:t xml:space="preserve"> the trust d</w:t>
      </w:r>
      <w:r w:rsidR="000F2426">
        <w:t>eed</w:t>
      </w:r>
      <w:r w:rsidRPr="00771B49">
        <w:t xml:space="preserve"> be amended in order to apply to the adopted grandchildren.</w:t>
      </w:r>
    </w:p>
    <w:p w14:paraId="5B3F9301" w14:textId="77777777" w:rsidR="00AD7AB3" w:rsidRPr="00771B49" w:rsidRDefault="00AD7AB3" w:rsidP="00771B49"/>
    <w:p w14:paraId="30F77AC3" w14:textId="77777777" w:rsidR="00AD7AB3" w:rsidRPr="00771B49" w:rsidRDefault="00920448" w:rsidP="00771B49">
      <w:r w:rsidRPr="00771B49">
        <w:t xml:space="preserve">The High Court </w:t>
      </w:r>
      <w:r w:rsidR="004061F1" w:rsidRPr="00771B49">
        <w:t xml:space="preserve">(per Dlodlo J) </w:t>
      </w:r>
      <w:r w:rsidRPr="00771B49">
        <w:rPr>
          <w:lang w:val="en-US"/>
        </w:rPr>
        <w:t xml:space="preserve">conducted an interpretative exercise to </w:t>
      </w:r>
      <w:r w:rsidR="00995AC2" w:rsidRPr="00771B49">
        <w:rPr>
          <w:lang w:val="en-US"/>
        </w:rPr>
        <w:t>ascertain the intention of the d</w:t>
      </w:r>
      <w:r w:rsidR="00EA42F7" w:rsidRPr="00771B49">
        <w:rPr>
          <w:lang w:val="en-US"/>
        </w:rPr>
        <w:t xml:space="preserve">onor.  </w:t>
      </w:r>
      <w:r w:rsidR="0082269B" w:rsidRPr="00771B49">
        <w:rPr>
          <w:lang w:val="en-US"/>
        </w:rPr>
        <w:t>The High Court noted that w</w:t>
      </w:r>
      <w:r w:rsidR="00EA42F7" w:rsidRPr="00771B49">
        <w:rPr>
          <w:lang w:val="en-US"/>
        </w:rPr>
        <w:t>hether the d</w:t>
      </w:r>
      <w:r w:rsidRPr="00771B49">
        <w:rPr>
          <w:lang w:val="en-US"/>
        </w:rPr>
        <w:t>onor intended to include adopted children f</w:t>
      </w:r>
      <w:r w:rsidR="00D72E19">
        <w:rPr>
          <w:lang w:val="en-US"/>
        </w:rPr>
        <w:t>ell</w:t>
      </w:r>
      <w:r w:rsidRPr="00771B49">
        <w:rPr>
          <w:lang w:val="en-US"/>
        </w:rPr>
        <w:t xml:space="preserve"> to be answered by applying the ordinary </w:t>
      </w:r>
      <w:r w:rsidR="00EA42F7" w:rsidRPr="00771B49">
        <w:rPr>
          <w:lang w:val="en-US"/>
        </w:rPr>
        <w:t>rules of interpretation to the trust d</w:t>
      </w:r>
      <w:r w:rsidRPr="00771B49">
        <w:rPr>
          <w:lang w:val="en-US"/>
        </w:rPr>
        <w:t xml:space="preserve">eed, </w:t>
      </w:r>
      <w:r w:rsidR="00E818CB" w:rsidRPr="00771B49">
        <w:rPr>
          <w:lang w:val="en-US"/>
        </w:rPr>
        <w:t xml:space="preserve">in line </w:t>
      </w:r>
      <w:r w:rsidRPr="00771B49">
        <w:rPr>
          <w:lang w:val="en-US"/>
        </w:rPr>
        <w:t>with the law at the time of its execution.  The High Court held that t</w:t>
      </w:r>
      <w:r w:rsidR="00EA42F7" w:rsidRPr="00771B49">
        <w:rPr>
          <w:lang w:val="en-US"/>
        </w:rPr>
        <w:t>he d</w:t>
      </w:r>
      <w:r w:rsidRPr="00771B49">
        <w:rPr>
          <w:lang w:val="en-US"/>
        </w:rPr>
        <w:t xml:space="preserve">onor’s subsequent omission to expressly include adopted children should be </w:t>
      </w:r>
      <w:r w:rsidR="00EA42F7" w:rsidRPr="00771B49">
        <w:rPr>
          <w:lang w:val="en-US"/>
        </w:rPr>
        <w:t>held to indicate the d</w:t>
      </w:r>
      <w:r w:rsidRPr="00771B49">
        <w:rPr>
          <w:lang w:val="en-US"/>
        </w:rPr>
        <w:t>onor’s intention not to include adopted chil</w:t>
      </w:r>
      <w:r w:rsidR="00EA42F7" w:rsidRPr="00771B49">
        <w:rPr>
          <w:lang w:val="en-US"/>
        </w:rPr>
        <w:t xml:space="preserve">dren.  Therefore, </w:t>
      </w:r>
      <w:r w:rsidRPr="00771B49">
        <w:rPr>
          <w:lang w:val="en-US"/>
        </w:rPr>
        <w:t>only the</w:t>
      </w:r>
      <w:r w:rsidR="00EA42F7" w:rsidRPr="00771B49">
        <w:rPr>
          <w:lang w:val="en-US"/>
        </w:rPr>
        <w:t xml:space="preserve"> biological descendants of the d</w:t>
      </w:r>
      <w:r w:rsidRPr="00771B49">
        <w:rPr>
          <w:lang w:val="en-US"/>
        </w:rPr>
        <w:t>onor’s children ar</w:t>
      </w:r>
      <w:r w:rsidR="00EA42F7" w:rsidRPr="00771B49">
        <w:rPr>
          <w:lang w:val="en-US"/>
        </w:rPr>
        <w:t>e capital beneficiaries of the trust d</w:t>
      </w:r>
      <w:r w:rsidRPr="00771B49">
        <w:rPr>
          <w:lang w:val="en-US"/>
        </w:rPr>
        <w:t xml:space="preserve">eed.  The High Court also underscored the distinction between private and public testamentary instruments and </w:t>
      </w:r>
      <w:r w:rsidR="00081CB0">
        <w:rPr>
          <w:lang w:val="en-US"/>
        </w:rPr>
        <w:t xml:space="preserve">found that </w:t>
      </w:r>
      <w:r w:rsidRPr="00771B49">
        <w:rPr>
          <w:lang w:val="en-US"/>
        </w:rPr>
        <w:t>when dealing with the</w:t>
      </w:r>
      <w:r w:rsidR="004061F1" w:rsidRPr="00771B49">
        <w:rPr>
          <w:lang w:val="en-US"/>
        </w:rPr>
        <w:t xml:space="preserve"> latter</w:t>
      </w:r>
      <w:r w:rsidR="00662CA7">
        <w:rPr>
          <w:lang w:val="en-US"/>
        </w:rPr>
        <w:t>,</w:t>
      </w:r>
      <w:r w:rsidR="004061F1" w:rsidRPr="00771B49">
        <w:rPr>
          <w:lang w:val="en-US"/>
        </w:rPr>
        <w:t xml:space="preserve"> courts are willing to intervene</w:t>
      </w:r>
      <w:r w:rsidR="00484ABC" w:rsidRPr="00771B49">
        <w:rPr>
          <w:lang w:val="en-US"/>
        </w:rPr>
        <w:t xml:space="preserve"> through the lens of public policy</w:t>
      </w:r>
      <w:r w:rsidR="004061F1" w:rsidRPr="00771B49">
        <w:rPr>
          <w:lang w:val="en-US"/>
        </w:rPr>
        <w:t xml:space="preserve">.  </w:t>
      </w:r>
      <w:r w:rsidR="00662CA7">
        <w:rPr>
          <w:lang w:val="en-US"/>
        </w:rPr>
        <w:t>In the result, t</w:t>
      </w:r>
      <w:r w:rsidR="004061F1" w:rsidRPr="00771B49">
        <w:rPr>
          <w:lang w:val="en-US"/>
        </w:rPr>
        <w:t>he High Court dismissed the application with costs.</w:t>
      </w:r>
    </w:p>
    <w:p w14:paraId="212D45D0" w14:textId="77777777" w:rsidR="00AD7AB3" w:rsidRPr="00771B49" w:rsidRDefault="00AD7AB3" w:rsidP="00771B49"/>
    <w:p w14:paraId="7448792A" w14:textId="0D3905B9" w:rsidR="00354E02" w:rsidRDefault="004061F1" w:rsidP="00D72E19">
      <w:r w:rsidRPr="00771B49">
        <w:t>Aggrieved by the decision of the High Court, the applicants approached the S</w:t>
      </w:r>
      <w:r w:rsidR="00081CB0">
        <w:t xml:space="preserve">upreme </w:t>
      </w:r>
      <w:r w:rsidRPr="00771B49">
        <w:t>C</w:t>
      </w:r>
      <w:r w:rsidR="00081CB0">
        <w:t xml:space="preserve">ourt of </w:t>
      </w:r>
      <w:r w:rsidRPr="00771B49">
        <w:t>A</w:t>
      </w:r>
      <w:r w:rsidR="00081CB0">
        <w:t>ppeal</w:t>
      </w:r>
      <w:r w:rsidRPr="00771B49">
        <w:t>.  The S</w:t>
      </w:r>
      <w:r w:rsidR="00081CB0">
        <w:t xml:space="preserve">upreme </w:t>
      </w:r>
      <w:r w:rsidRPr="00771B49">
        <w:t>C</w:t>
      </w:r>
      <w:r w:rsidR="00081CB0">
        <w:t xml:space="preserve">ourt of </w:t>
      </w:r>
      <w:r w:rsidRPr="00771B49">
        <w:t>A</w:t>
      </w:r>
      <w:r w:rsidR="00081CB0">
        <w:t>ppeal</w:t>
      </w:r>
      <w:r w:rsidRPr="00771B49">
        <w:t xml:space="preserve"> was split on the matter.  </w:t>
      </w:r>
      <w:r w:rsidR="00D72E19">
        <w:rPr>
          <w:lang w:val="en-US"/>
        </w:rPr>
        <w:t>The majority judgment</w:t>
      </w:r>
      <w:r w:rsidR="00D72E19" w:rsidRPr="00771B49">
        <w:rPr>
          <w:lang w:val="en-US"/>
        </w:rPr>
        <w:t xml:space="preserve"> </w:t>
      </w:r>
      <w:r w:rsidR="00D72E19" w:rsidRPr="00771B49">
        <w:t xml:space="preserve">was penned by Ponnan JA (Tshiqi, Zondi and Dambuza JJA concurring).  Through the interpretative exercise to ascertain the intention of the testator, the majority </w:t>
      </w:r>
      <w:r w:rsidR="00081CB0">
        <w:t xml:space="preserve">judgment </w:t>
      </w:r>
      <w:r w:rsidR="00D72E19" w:rsidRPr="00771B49">
        <w:t xml:space="preserve">noted that the trust deed was drawn up by a professional person and if the donor had intended to benefit adopted children, the donor would presumably have been advised of the need to include such a class of children in express terms.  </w:t>
      </w:r>
      <w:r w:rsidR="00D72E19">
        <w:t xml:space="preserve">The majority </w:t>
      </w:r>
      <w:r w:rsidR="00081CB0">
        <w:t xml:space="preserve">judgment </w:t>
      </w:r>
      <w:r w:rsidR="00D72E19">
        <w:t>noted that this omission was</w:t>
      </w:r>
      <w:r w:rsidR="00D72E19" w:rsidRPr="00771B49">
        <w:t xml:space="preserve"> fatal and indicative of no intention on behalf of the donor.</w:t>
      </w:r>
      <w:r w:rsidR="00354E02">
        <w:t xml:space="preserve"> </w:t>
      </w:r>
      <w:r w:rsidR="00D72E19" w:rsidRPr="00771B49">
        <w:t>In terms of public policy, it is deeply rooted in the Constitution and that some testamentary provisions may not pass muster in light of our Constitution</w:t>
      </w:r>
      <w:r w:rsidR="00D72E19">
        <w:t>’s</w:t>
      </w:r>
      <w:r w:rsidR="00D72E19" w:rsidRPr="00771B49">
        <w:t xml:space="preserve"> equality and non-discrimination imperatives.  </w:t>
      </w:r>
      <w:r w:rsidR="00354E02">
        <w:t>On the other hand, a</w:t>
      </w:r>
      <w:r w:rsidR="00D72E19" w:rsidRPr="00771B49">
        <w:t xml:space="preserve">n analysis of freedom of testation is underscored by the right to property as well as the right to dignity.  </w:t>
      </w:r>
    </w:p>
    <w:p w14:paraId="60D57F56" w14:textId="77777777" w:rsidR="00354E02" w:rsidRDefault="00354E02" w:rsidP="00D72E19"/>
    <w:p w14:paraId="60DBEE2A" w14:textId="75D93084" w:rsidR="00D72E19" w:rsidRPr="00771B49" w:rsidRDefault="00D72E19" w:rsidP="00D72E19">
      <w:r w:rsidRPr="00771B49">
        <w:t xml:space="preserve">The majority </w:t>
      </w:r>
      <w:r w:rsidR="00081CB0">
        <w:t xml:space="preserve">judgment </w:t>
      </w:r>
      <w:r w:rsidRPr="00771B49">
        <w:t xml:space="preserve">held that public trusts are judged more strictly than private trusts – </w:t>
      </w:r>
      <w:r w:rsidR="00CC4867">
        <w:t xml:space="preserve">that </w:t>
      </w:r>
      <w:r w:rsidRPr="00771B49">
        <w:t xml:space="preserve">this matter concerns </w:t>
      </w:r>
      <w:r w:rsidRPr="00771B49">
        <w:rPr>
          <w:lang w:val="en-US"/>
        </w:rPr>
        <w:t>what</w:t>
      </w:r>
      <w:r w:rsidRPr="00771B49">
        <w:t xml:space="preserve"> occurs in the private and limited sphere of the donor.  The majority held that freedom of testation must be given appropriate weight and in this matter we are not concerned with a trust deed that contains “gratuitously discriminatory provisions of an egregious kind”, the applicants are in effect asking the S</w:t>
      </w:r>
      <w:r w:rsidR="00081CB0">
        <w:t xml:space="preserve">upreme </w:t>
      </w:r>
      <w:r w:rsidRPr="00771B49">
        <w:t>C</w:t>
      </w:r>
      <w:r w:rsidR="00081CB0">
        <w:t xml:space="preserve">ourt of </w:t>
      </w:r>
      <w:r w:rsidRPr="00771B49">
        <w:t>A</w:t>
      </w:r>
      <w:r w:rsidR="00081CB0">
        <w:t>ppeal</w:t>
      </w:r>
      <w:r w:rsidRPr="00771B49">
        <w:t xml:space="preserve"> to rewrite the trust deed and the S</w:t>
      </w:r>
      <w:r w:rsidR="00081CB0">
        <w:t xml:space="preserve">upreme </w:t>
      </w:r>
      <w:r w:rsidRPr="00771B49">
        <w:t>C</w:t>
      </w:r>
      <w:r w:rsidR="00081CB0">
        <w:t xml:space="preserve">ourt of </w:t>
      </w:r>
      <w:r w:rsidRPr="00771B49">
        <w:t>A</w:t>
      </w:r>
      <w:r w:rsidR="00081CB0">
        <w:t>ppeal</w:t>
      </w:r>
      <w:r w:rsidRPr="00771B49">
        <w:t xml:space="preserve"> has no jurisdictional basis to do so.  The S</w:t>
      </w:r>
      <w:r w:rsidR="00081CB0">
        <w:t xml:space="preserve">upreme </w:t>
      </w:r>
      <w:r w:rsidRPr="00771B49">
        <w:t>C</w:t>
      </w:r>
      <w:r w:rsidR="00081CB0">
        <w:t xml:space="preserve">ourt of </w:t>
      </w:r>
      <w:r w:rsidRPr="00771B49">
        <w:t>A</w:t>
      </w:r>
      <w:r w:rsidR="00081CB0">
        <w:t>ppeal</w:t>
      </w:r>
      <w:r w:rsidRPr="00771B49">
        <w:t xml:space="preserve"> </w:t>
      </w:r>
      <w:r>
        <w:t xml:space="preserve">also </w:t>
      </w:r>
      <w:r w:rsidRPr="00771B49">
        <w:t>dismissed the section 13</w:t>
      </w:r>
      <w:r>
        <w:t xml:space="preserve"> of the</w:t>
      </w:r>
      <w:r w:rsidRPr="00771B49">
        <w:t xml:space="preserve"> Trust Act arguments.</w:t>
      </w:r>
      <w:r w:rsidR="00081CB0">
        <w:t xml:space="preserve"> </w:t>
      </w:r>
      <w:r>
        <w:t xml:space="preserve"> The appeal was thus dismissed.</w:t>
      </w:r>
    </w:p>
    <w:p w14:paraId="704CA489" w14:textId="77777777" w:rsidR="00D72E19" w:rsidRDefault="00D72E19" w:rsidP="00771B49"/>
    <w:p w14:paraId="47510F75" w14:textId="2EEC8D65" w:rsidR="004061F1" w:rsidRPr="00771B49" w:rsidRDefault="004061F1" w:rsidP="00771B49">
      <w:pPr>
        <w:rPr>
          <w:lang w:val="en-US"/>
        </w:rPr>
      </w:pPr>
      <w:r w:rsidRPr="00771B49">
        <w:rPr>
          <w:lang w:val="en-US"/>
        </w:rPr>
        <w:t xml:space="preserve">The minority </w:t>
      </w:r>
      <w:r w:rsidR="00662CA7" w:rsidRPr="00771B49">
        <w:rPr>
          <w:lang w:val="en-US"/>
        </w:rPr>
        <w:t xml:space="preserve">judgment penned by Molemela JA held that </w:t>
      </w:r>
      <w:r w:rsidR="00662CA7">
        <w:rPr>
          <w:lang w:val="en-US"/>
        </w:rPr>
        <w:t xml:space="preserve">the </w:t>
      </w:r>
      <w:r w:rsidR="00662CA7" w:rsidRPr="00771B49">
        <w:rPr>
          <w:lang w:val="en-US"/>
        </w:rPr>
        <w:t>issue of public policy did not arise because the language of the trust deed coupled with the surrounding circumstances did not reveal an intention to exclude adopted children, and is</w:t>
      </w:r>
      <w:r w:rsidRPr="00771B49">
        <w:rPr>
          <w:lang w:val="en-US"/>
        </w:rPr>
        <w:t xml:space="preserve"> thus not discriminatory in effect.</w:t>
      </w:r>
      <w:r w:rsidR="004C0AB5" w:rsidRPr="00771B49">
        <w:rPr>
          <w:lang w:val="en-US"/>
        </w:rPr>
        <w:t xml:space="preserve">  </w:t>
      </w:r>
      <w:r w:rsidR="003D196A">
        <w:rPr>
          <w:lang w:val="en-US"/>
        </w:rPr>
        <w:t>The minority judgment</w:t>
      </w:r>
      <w:r w:rsidR="004C0AB5" w:rsidRPr="00771B49">
        <w:rPr>
          <w:lang w:val="en-US"/>
        </w:rPr>
        <w:t xml:space="preserve"> reasoned that the legal fiction created by section 71(2) of the Children’s Act of 1937</w:t>
      </w:r>
      <w:r w:rsidR="00A31A8E" w:rsidRPr="00771B49">
        <w:rPr>
          <w:lang w:val="en-US"/>
        </w:rPr>
        <w:t xml:space="preserve"> (Children’s Act)</w:t>
      </w:r>
      <w:r w:rsidR="004C0AB5" w:rsidRPr="00771B49">
        <w:rPr>
          <w:lang w:val="en-US"/>
        </w:rPr>
        <w:t xml:space="preserve"> was that an adopted child was for all purposes deemed to be a biological child and there is a presumption in favour that can only be rebutted by a contrary intention evident in a will or trust based on the ordinary rules of interpretation.  After an interpretative exercise </w:t>
      </w:r>
      <w:r w:rsidR="003D196A">
        <w:rPr>
          <w:lang w:val="en-US"/>
        </w:rPr>
        <w:t>the minority judgment</w:t>
      </w:r>
      <w:r w:rsidR="004C0AB5" w:rsidRPr="00771B49">
        <w:rPr>
          <w:lang w:val="en-US"/>
        </w:rPr>
        <w:t xml:space="preserve"> concluded that there was</w:t>
      </w:r>
      <w:r w:rsidR="00EA42F7" w:rsidRPr="00771B49">
        <w:rPr>
          <w:lang w:val="en-US"/>
        </w:rPr>
        <w:t xml:space="preserve"> no basis for finding that the d</w:t>
      </w:r>
      <w:r w:rsidR="004C0AB5" w:rsidRPr="00771B49">
        <w:rPr>
          <w:lang w:val="en-US"/>
        </w:rPr>
        <w:t>onor’s manifest i</w:t>
      </w:r>
      <w:r w:rsidR="000F2426">
        <w:rPr>
          <w:lang w:val="en-US"/>
        </w:rPr>
        <w:t>ntention was to exclude adopted</w:t>
      </w:r>
      <w:r w:rsidR="004C0AB5" w:rsidRPr="00771B49">
        <w:rPr>
          <w:lang w:val="en-US"/>
        </w:rPr>
        <w:t xml:space="preserve"> chi</w:t>
      </w:r>
      <w:r w:rsidR="00EA42F7" w:rsidRPr="00771B49">
        <w:rPr>
          <w:lang w:val="en-US"/>
        </w:rPr>
        <w:t>ldren from benefiting from the trust d</w:t>
      </w:r>
      <w:r w:rsidR="004C0AB5" w:rsidRPr="00771B49">
        <w:rPr>
          <w:lang w:val="en-US"/>
        </w:rPr>
        <w:t xml:space="preserve">eed.  Therefore, the </w:t>
      </w:r>
      <w:r w:rsidR="007B296D" w:rsidRPr="00771B49">
        <w:rPr>
          <w:lang w:val="en-US"/>
        </w:rPr>
        <w:t>impugned</w:t>
      </w:r>
      <w:r w:rsidR="00774E4D" w:rsidRPr="00771B49">
        <w:rPr>
          <w:lang w:val="en-US"/>
        </w:rPr>
        <w:t xml:space="preserve"> </w:t>
      </w:r>
      <w:r w:rsidR="004E1D10" w:rsidRPr="00771B49">
        <w:rPr>
          <w:lang w:val="en-US"/>
        </w:rPr>
        <w:t>words include</w:t>
      </w:r>
      <w:r w:rsidR="004C0AB5" w:rsidRPr="00771B49">
        <w:rPr>
          <w:lang w:val="en-US"/>
        </w:rPr>
        <w:t xml:space="preserve"> adopted </w:t>
      </w:r>
      <w:r w:rsidR="007B296D" w:rsidRPr="00771B49">
        <w:rPr>
          <w:lang w:val="en-US"/>
        </w:rPr>
        <w:t>children.</w:t>
      </w:r>
    </w:p>
    <w:p w14:paraId="0BCAE6BB" w14:textId="77777777" w:rsidR="00D65A5E" w:rsidRPr="00771B49" w:rsidRDefault="00D65A5E" w:rsidP="00771B49"/>
    <w:p w14:paraId="020244A4" w14:textId="34586E0F" w:rsidR="00774E4D" w:rsidRPr="00771B49" w:rsidRDefault="003D196A" w:rsidP="00771B49">
      <w:r>
        <w:t>Aggrieved by the decision of the majority of the Supreme Court of Appeal, t</w:t>
      </w:r>
      <w:r w:rsidR="00AF05D9" w:rsidRPr="00771B49">
        <w:t xml:space="preserve">he applicants applied for leave to appeal to the Constitutional Court.  </w:t>
      </w:r>
      <w:r w:rsidR="00A31A8E" w:rsidRPr="00771B49">
        <w:t>First, the applicants submit that based on sect</w:t>
      </w:r>
      <w:r w:rsidR="00EC4AFA" w:rsidRPr="00771B49">
        <w:t xml:space="preserve">ion 71(2) of the Children’s Act, </w:t>
      </w:r>
      <w:r w:rsidR="00A31A8E" w:rsidRPr="00771B49">
        <w:t xml:space="preserve">the lower courts misinterpreted the facts and the donor’s intention regarding natural and adopted children.  </w:t>
      </w:r>
      <w:r w:rsidR="00621C1A" w:rsidRPr="00771B49">
        <w:t>The applicants seek an interpretation t</w:t>
      </w:r>
      <w:r w:rsidR="00CC4867">
        <w:t>hat</w:t>
      </w:r>
      <w:r w:rsidR="00621C1A" w:rsidRPr="00771B49">
        <w:t xml:space="preserve"> bring</w:t>
      </w:r>
      <w:r w:rsidR="00CC4867">
        <w:t>s</w:t>
      </w:r>
      <w:r w:rsidR="00621C1A" w:rsidRPr="00771B49">
        <w:t xml:space="preserve"> the provisions of the trust deed in line with the purposes sought to be achieved.  </w:t>
      </w:r>
      <w:r w:rsidR="00A31A8E" w:rsidRPr="00771B49">
        <w:t>Second, the applicants conten</w:t>
      </w:r>
      <w:r w:rsidR="00EC4AFA" w:rsidRPr="00771B49">
        <w:t>d that the High Court and</w:t>
      </w:r>
      <w:r w:rsidR="00A31A8E" w:rsidRPr="00771B49">
        <w:t xml:space="preserve"> </w:t>
      </w:r>
      <w:r>
        <w:t xml:space="preserve">the </w:t>
      </w:r>
      <w:r w:rsidR="00A31A8E" w:rsidRPr="00771B49">
        <w:t>S</w:t>
      </w:r>
      <w:r>
        <w:t xml:space="preserve">upreme </w:t>
      </w:r>
      <w:r w:rsidR="00A31A8E" w:rsidRPr="00771B49">
        <w:t>C</w:t>
      </w:r>
      <w:r>
        <w:t xml:space="preserve">ourt of </w:t>
      </w:r>
      <w:r w:rsidR="00A31A8E" w:rsidRPr="00771B49">
        <w:t>A</w:t>
      </w:r>
      <w:r>
        <w:t>ppeal</w:t>
      </w:r>
      <w:r w:rsidR="00A31A8E" w:rsidRPr="00771B49">
        <w:t xml:space="preserve"> neglected developments in public policy regarding the laws concerning adopted children, and failed to recognise that public policy evolves </w:t>
      </w:r>
      <w:r w:rsidR="00A31A8E" w:rsidRPr="000F2426">
        <w:t xml:space="preserve">pursuant to </w:t>
      </w:r>
      <w:r w:rsidR="000F2426">
        <w:t xml:space="preserve">the </w:t>
      </w:r>
      <w:r w:rsidR="00EC4AFA" w:rsidRPr="000F2426">
        <w:t>advent</w:t>
      </w:r>
      <w:r w:rsidR="00EC4AFA" w:rsidRPr="00771B49">
        <w:t xml:space="preserve"> of the Constitution.  </w:t>
      </w:r>
      <w:r w:rsidR="000F2426">
        <w:t>Third, t</w:t>
      </w:r>
      <w:r w:rsidR="00A31A8E" w:rsidRPr="00771B49">
        <w:t>he applicants also contend that based o</w:t>
      </w:r>
      <w:r w:rsidR="00A31A8E" w:rsidRPr="001366BA">
        <w:t>n section 8(3)</w:t>
      </w:r>
      <w:r w:rsidR="00A31A8E" w:rsidRPr="00771B49">
        <w:t xml:space="preserve"> of the Constitution</w:t>
      </w:r>
      <w:r w:rsidR="00077382" w:rsidRPr="00771B49">
        <w:t>,</w:t>
      </w:r>
      <w:r w:rsidR="00A31A8E" w:rsidRPr="00771B49">
        <w:t xml:space="preserve"> the Court ought to develop the common law to give effect to a right in the Bill of Rights.  The current Children’s Act should be applied retrospectively and public policy at the time of vesting should prevail.  </w:t>
      </w:r>
      <w:r w:rsidR="00077382" w:rsidRPr="00771B49">
        <w:t xml:space="preserve">Fourth, the applicants contend </w:t>
      </w:r>
      <w:r w:rsidR="00621C1A" w:rsidRPr="00771B49">
        <w:t>th</w:t>
      </w:r>
      <w:r w:rsidR="00485F16" w:rsidRPr="00771B49">
        <w:t>at</w:t>
      </w:r>
      <w:r w:rsidR="00621C1A" w:rsidRPr="00771B49">
        <w:t xml:space="preserve"> di</w:t>
      </w:r>
      <w:r w:rsidR="00EC4AFA" w:rsidRPr="00771B49">
        <w:t>fferentiation on the basis of b</w:t>
      </w:r>
      <w:r w:rsidR="00621C1A" w:rsidRPr="00771B49">
        <w:t>i</w:t>
      </w:r>
      <w:r w:rsidR="00EC4AFA" w:rsidRPr="00771B49">
        <w:t>r</w:t>
      </w:r>
      <w:r w:rsidR="00621C1A" w:rsidRPr="00771B49">
        <w:t xml:space="preserve">th infringes </w:t>
      </w:r>
      <w:r w:rsidR="001366BA" w:rsidRPr="00771B49">
        <w:t>section</w:t>
      </w:r>
      <w:r w:rsidR="00621C1A" w:rsidRPr="00771B49">
        <w:t xml:space="preserve"> 9(1) and section 9(3) of the Constitution.  While freedom of testation is a core principle, it is not absolute</w:t>
      </w:r>
      <w:r w:rsidR="005A0507">
        <w:t>,</w:t>
      </w:r>
      <w:r w:rsidR="00621C1A" w:rsidRPr="00771B49">
        <w:t xml:space="preserve"> and the right to equality ought to outweigh freedom of testation.  Finally, the applicants submit that the High Court and S</w:t>
      </w:r>
      <w:r>
        <w:t xml:space="preserve">upreme </w:t>
      </w:r>
      <w:r w:rsidR="00621C1A" w:rsidRPr="00771B49">
        <w:t>C</w:t>
      </w:r>
      <w:r>
        <w:t xml:space="preserve">ourt of </w:t>
      </w:r>
      <w:r w:rsidR="00621C1A" w:rsidRPr="00771B49">
        <w:t>A</w:t>
      </w:r>
      <w:r>
        <w:t>ppeal</w:t>
      </w:r>
      <w:r w:rsidR="00621C1A" w:rsidRPr="00771B49">
        <w:t xml:space="preserve"> </w:t>
      </w:r>
      <w:r>
        <w:t xml:space="preserve">also </w:t>
      </w:r>
      <w:r w:rsidR="00621C1A" w:rsidRPr="00771B49">
        <w:t>erred in dismissing their section 13 of the Trust Act argument.</w:t>
      </w:r>
    </w:p>
    <w:p w14:paraId="2C0FFD9A" w14:textId="77777777" w:rsidR="00621C1A" w:rsidRPr="00771B49" w:rsidRDefault="00621C1A" w:rsidP="00771B49"/>
    <w:p w14:paraId="7C80D55C" w14:textId="77777777" w:rsidR="00621C1A" w:rsidRPr="00771B49" w:rsidRDefault="004E1D10" w:rsidP="00771B49">
      <w:r w:rsidRPr="00771B49">
        <w:t>The respondents submit that</w:t>
      </w:r>
      <w:r w:rsidR="00EC4AFA" w:rsidRPr="00771B49">
        <w:t>,</w:t>
      </w:r>
      <w:r w:rsidRPr="00771B49">
        <w:t xml:space="preserve"> </w:t>
      </w:r>
      <w:r w:rsidR="00EC4AFA" w:rsidRPr="00771B49">
        <w:t xml:space="preserve">for the purposes of the trust deed, </w:t>
      </w:r>
      <w:r w:rsidRPr="00771B49">
        <w:t xml:space="preserve">the donor did not intend to include adopted children. </w:t>
      </w:r>
      <w:r w:rsidR="00EC4AFA" w:rsidRPr="00771B49">
        <w:t xml:space="preserve"> Since the trust deed was executed </w:t>
      </w:r>
      <w:r w:rsidR="0030629E">
        <w:t>before</w:t>
      </w:r>
      <w:r w:rsidR="00EC4AFA" w:rsidRPr="00771B49">
        <w:t xml:space="preserve"> the adoption, the adopted children were not entitled to inherit unless the intention</w:t>
      </w:r>
      <w:r w:rsidR="0030629E">
        <w:t xml:space="preserve"> of the donor</w:t>
      </w:r>
      <w:r w:rsidR="00EC4AFA" w:rsidRPr="00771B49">
        <w:t xml:space="preserve"> was clearly conveyed.  The respondents argue that the donor’s intention and meaning of the trust deed ought to be discerned in light of the surrounding circu</w:t>
      </w:r>
      <w:r w:rsidR="001850F8" w:rsidRPr="00771B49">
        <w:t xml:space="preserve">mstances </w:t>
      </w:r>
      <w:r w:rsidR="0030629E">
        <w:t>at</w:t>
      </w:r>
      <w:r w:rsidR="001850F8" w:rsidRPr="00771B49">
        <w:t xml:space="preserve"> the time of its exe</w:t>
      </w:r>
      <w:r w:rsidR="00EC4AFA" w:rsidRPr="00771B49">
        <w:t>cution, in the context of the deed as a whole, consistent with the law applicable at the time of execution</w:t>
      </w:r>
      <w:r w:rsidR="000B50E1" w:rsidRPr="00771B49">
        <w:t>,</w:t>
      </w:r>
      <w:r w:rsidR="00EC4AFA" w:rsidRPr="00771B49">
        <w:t xml:space="preserve"> and </w:t>
      </w:r>
      <w:r w:rsidR="000B50E1" w:rsidRPr="00771B49">
        <w:t xml:space="preserve">that </w:t>
      </w:r>
      <w:r w:rsidR="00EC4AFA" w:rsidRPr="00771B49">
        <w:t xml:space="preserve">subsequent statutes cannot alter the donor’s original intention.  The </w:t>
      </w:r>
      <w:r w:rsidR="001850F8" w:rsidRPr="00771B49">
        <w:t>respondents submit that since the donor had</w:t>
      </w:r>
      <w:r w:rsidR="00EC4AFA" w:rsidRPr="00771B49">
        <w:t xml:space="preserve"> professional assistance, the donor could have expressly provided for adopted children.  The respondents submit that the applicants cannot rely directly on the Bill of Rights</w:t>
      </w:r>
      <w:r w:rsidR="005A0507">
        <w:t>,</w:t>
      </w:r>
      <w:r w:rsidR="00EC4AFA" w:rsidRPr="00771B49">
        <w:t xml:space="preserve"> due to the </w:t>
      </w:r>
      <w:r w:rsidR="001850F8" w:rsidRPr="00771B49">
        <w:t>non-</w:t>
      </w:r>
      <w:r w:rsidR="00EC4AFA" w:rsidRPr="00771B49">
        <w:t>retrospectivity rule</w:t>
      </w:r>
      <w:r w:rsidR="005A0507">
        <w:t>,</w:t>
      </w:r>
      <w:r w:rsidR="00EC4AFA" w:rsidRPr="00771B49">
        <w:t xml:space="preserve"> rendering the section 9(3) argument irrelevant.  The respondents</w:t>
      </w:r>
      <w:r w:rsidR="001366BA">
        <w:t xml:space="preserve"> further</w:t>
      </w:r>
      <w:r w:rsidR="00EC4AFA" w:rsidRPr="00771B49">
        <w:t xml:space="preserve"> challenge</w:t>
      </w:r>
      <w:r w:rsidR="001366BA">
        <w:t>d</w:t>
      </w:r>
      <w:r w:rsidR="00EC4AFA" w:rsidRPr="00771B49">
        <w:t xml:space="preserve"> the argument put forward by the applicants to develop the common law pursuant to section </w:t>
      </w:r>
      <w:r w:rsidR="00EC4AFA" w:rsidRPr="001366BA">
        <w:t>39(2)</w:t>
      </w:r>
      <w:r w:rsidR="00EC4AFA" w:rsidRPr="00771B49">
        <w:t xml:space="preserve"> of the Constitution.  The respondents contend that freedom of testation does not rank lower than equality.  Finally, the respondents submit that the jurisdictional facts for section 13 of the Trust Act are absent.</w:t>
      </w:r>
    </w:p>
    <w:sectPr w:rsidR="00621C1A" w:rsidRPr="00771B49" w:rsidSect="00883D6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FDA7D" w14:textId="77777777" w:rsidR="00F96E4E" w:rsidRDefault="00F96E4E" w:rsidP="004A5089">
      <w:r>
        <w:separator/>
      </w:r>
    </w:p>
  </w:endnote>
  <w:endnote w:type="continuationSeparator" w:id="0">
    <w:p w14:paraId="51B4176A" w14:textId="77777777" w:rsidR="00F96E4E" w:rsidRDefault="00F96E4E" w:rsidP="004A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090D7" w14:textId="77777777" w:rsidR="00F96E4E" w:rsidRDefault="00F96E4E" w:rsidP="004A5089">
      <w:r>
        <w:separator/>
      </w:r>
    </w:p>
  </w:footnote>
  <w:footnote w:type="continuationSeparator" w:id="0">
    <w:p w14:paraId="70133563" w14:textId="77777777" w:rsidR="00F96E4E" w:rsidRDefault="00F96E4E" w:rsidP="004A5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7A26"/>
    <w:multiLevelType w:val="hybridMultilevel"/>
    <w:tmpl w:val="00FAD9B4"/>
    <w:lvl w:ilvl="0" w:tplc="0CD23EA0">
      <w:start w:val="1"/>
      <w:numFmt w:val="decimal"/>
      <w:pStyle w:val="JUDGMENTNUMBERED"/>
      <w:lvlText w:val="[%1]"/>
      <w:lvlJc w:val="left"/>
      <w:pPr>
        <w:ind w:left="54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760" w:hanging="360"/>
      </w:pPr>
    </w:lvl>
    <w:lvl w:ilvl="2" w:tplc="6E0C1B9C">
      <w:start w:val="1"/>
      <w:numFmt w:val="lowerLetter"/>
      <w:lvlText w:val="(%3)"/>
      <w:lvlJc w:val="left"/>
      <w:pPr>
        <w:ind w:left="1696" w:hanging="396"/>
      </w:pPr>
      <w:rPr>
        <w:rFonts w:hint="default"/>
      </w:r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1" w15:restartNumberingAfterBreak="0">
    <w:nsid w:val="542C6A13"/>
    <w:multiLevelType w:val="hybridMultilevel"/>
    <w:tmpl w:val="EC4E183E"/>
    <w:lvl w:ilvl="0" w:tplc="CBEE1F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6D569F"/>
    <w:multiLevelType w:val="multilevel"/>
    <w:tmpl w:val="8C146660"/>
    <w:lvl w:ilvl="0">
      <w:start w:val="1"/>
      <w:numFmt w:val="decimal"/>
      <w:lvlText w:val="%1"/>
      <w:lvlJc w:val="left"/>
      <w:pPr>
        <w:tabs>
          <w:tab w:val="num" w:pos="720"/>
        </w:tabs>
        <w:ind w:left="720" w:hanging="720"/>
      </w:pPr>
      <w:rPr>
        <w:rFonts w:hint="default"/>
        <w:b w:val="0"/>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5A"/>
    <w:rsid w:val="00001A3B"/>
    <w:rsid w:val="00017302"/>
    <w:rsid w:val="00023AEF"/>
    <w:rsid w:val="00023FA7"/>
    <w:rsid w:val="0003383F"/>
    <w:rsid w:val="00044771"/>
    <w:rsid w:val="000548D7"/>
    <w:rsid w:val="000557CE"/>
    <w:rsid w:val="00055B29"/>
    <w:rsid w:val="000615E9"/>
    <w:rsid w:val="000654B1"/>
    <w:rsid w:val="0007028D"/>
    <w:rsid w:val="00070E99"/>
    <w:rsid w:val="00077382"/>
    <w:rsid w:val="000806AE"/>
    <w:rsid w:val="00081CB0"/>
    <w:rsid w:val="00091F8C"/>
    <w:rsid w:val="00093E39"/>
    <w:rsid w:val="00094E7C"/>
    <w:rsid w:val="000A2712"/>
    <w:rsid w:val="000A36D1"/>
    <w:rsid w:val="000A36F3"/>
    <w:rsid w:val="000A5084"/>
    <w:rsid w:val="000B50E1"/>
    <w:rsid w:val="000D09EA"/>
    <w:rsid w:val="000D13B1"/>
    <w:rsid w:val="000D35AE"/>
    <w:rsid w:val="000E4D76"/>
    <w:rsid w:val="000F2426"/>
    <w:rsid w:val="00100894"/>
    <w:rsid w:val="00111126"/>
    <w:rsid w:val="00113454"/>
    <w:rsid w:val="00117D6B"/>
    <w:rsid w:val="0012226E"/>
    <w:rsid w:val="00122E3D"/>
    <w:rsid w:val="00125BE8"/>
    <w:rsid w:val="0013109E"/>
    <w:rsid w:val="00131CEE"/>
    <w:rsid w:val="001366BA"/>
    <w:rsid w:val="0015307D"/>
    <w:rsid w:val="00172A2C"/>
    <w:rsid w:val="001850F8"/>
    <w:rsid w:val="001A24C8"/>
    <w:rsid w:val="001B141E"/>
    <w:rsid w:val="001C4F6D"/>
    <w:rsid w:val="001C68F2"/>
    <w:rsid w:val="001D48C0"/>
    <w:rsid w:val="001E2BE7"/>
    <w:rsid w:val="001E31D8"/>
    <w:rsid w:val="001E57F4"/>
    <w:rsid w:val="001E5F5A"/>
    <w:rsid w:val="001E7604"/>
    <w:rsid w:val="0020056C"/>
    <w:rsid w:val="00200AB8"/>
    <w:rsid w:val="00210340"/>
    <w:rsid w:val="00215823"/>
    <w:rsid w:val="00226304"/>
    <w:rsid w:val="00232C60"/>
    <w:rsid w:val="002348C0"/>
    <w:rsid w:val="002432FF"/>
    <w:rsid w:val="002435AB"/>
    <w:rsid w:val="00243F11"/>
    <w:rsid w:val="00250C27"/>
    <w:rsid w:val="00250E51"/>
    <w:rsid w:val="00253986"/>
    <w:rsid w:val="002617B3"/>
    <w:rsid w:val="002705A8"/>
    <w:rsid w:val="0027251B"/>
    <w:rsid w:val="00285A7B"/>
    <w:rsid w:val="002A0556"/>
    <w:rsid w:val="002A0A35"/>
    <w:rsid w:val="002D184B"/>
    <w:rsid w:val="002D7582"/>
    <w:rsid w:val="00305423"/>
    <w:rsid w:val="0030629E"/>
    <w:rsid w:val="00306A24"/>
    <w:rsid w:val="00314919"/>
    <w:rsid w:val="0031718F"/>
    <w:rsid w:val="0031792A"/>
    <w:rsid w:val="00322C64"/>
    <w:rsid w:val="00323149"/>
    <w:rsid w:val="003255EA"/>
    <w:rsid w:val="0032682A"/>
    <w:rsid w:val="00334E0F"/>
    <w:rsid w:val="00354E02"/>
    <w:rsid w:val="00357788"/>
    <w:rsid w:val="00360CA5"/>
    <w:rsid w:val="0037720A"/>
    <w:rsid w:val="003807A5"/>
    <w:rsid w:val="003845A8"/>
    <w:rsid w:val="00385062"/>
    <w:rsid w:val="003850ED"/>
    <w:rsid w:val="00385772"/>
    <w:rsid w:val="00386254"/>
    <w:rsid w:val="003B1BAB"/>
    <w:rsid w:val="003B4484"/>
    <w:rsid w:val="003B746A"/>
    <w:rsid w:val="003C40ED"/>
    <w:rsid w:val="003D196A"/>
    <w:rsid w:val="003D1CF1"/>
    <w:rsid w:val="003D7359"/>
    <w:rsid w:val="003E3480"/>
    <w:rsid w:val="003F0347"/>
    <w:rsid w:val="003F1959"/>
    <w:rsid w:val="003F3E2F"/>
    <w:rsid w:val="004036FB"/>
    <w:rsid w:val="004061F1"/>
    <w:rsid w:val="004065B7"/>
    <w:rsid w:val="00410075"/>
    <w:rsid w:val="004302FD"/>
    <w:rsid w:val="00430C6F"/>
    <w:rsid w:val="00433FFD"/>
    <w:rsid w:val="004358E5"/>
    <w:rsid w:val="004426F8"/>
    <w:rsid w:val="00484ABC"/>
    <w:rsid w:val="00484B0D"/>
    <w:rsid w:val="00485F16"/>
    <w:rsid w:val="00490F2C"/>
    <w:rsid w:val="004A1AEE"/>
    <w:rsid w:val="004A4E97"/>
    <w:rsid w:val="004A5089"/>
    <w:rsid w:val="004C0AB5"/>
    <w:rsid w:val="004C1C26"/>
    <w:rsid w:val="004C5AD8"/>
    <w:rsid w:val="004C7EF7"/>
    <w:rsid w:val="004D716D"/>
    <w:rsid w:val="004E1D10"/>
    <w:rsid w:val="004F4079"/>
    <w:rsid w:val="004F4959"/>
    <w:rsid w:val="005038A1"/>
    <w:rsid w:val="00524F3A"/>
    <w:rsid w:val="005257B9"/>
    <w:rsid w:val="00526226"/>
    <w:rsid w:val="005307A5"/>
    <w:rsid w:val="00534D77"/>
    <w:rsid w:val="0053527E"/>
    <w:rsid w:val="00571CD9"/>
    <w:rsid w:val="00573AEA"/>
    <w:rsid w:val="00587A53"/>
    <w:rsid w:val="00594B56"/>
    <w:rsid w:val="00596826"/>
    <w:rsid w:val="0059795D"/>
    <w:rsid w:val="005A0507"/>
    <w:rsid w:val="005A4B3C"/>
    <w:rsid w:val="005B2F2F"/>
    <w:rsid w:val="005B51EB"/>
    <w:rsid w:val="005E52AC"/>
    <w:rsid w:val="005E557D"/>
    <w:rsid w:val="005F2B5C"/>
    <w:rsid w:val="005F322E"/>
    <w:rsid w:val="005F6CDB"/>
    <w:rsid w:val="00616848"/>
    <w:rsid w:val="00621C1A"/>
    <w:rsid w:val="00624FFE"/>
    <w:rsid w:val="00625009"/>
    <w:rsid w:val="00630A05"/>
    <w:rsid w:val="00630AA9"/>
    <w:rsid w:val="00630DCF"/>
    <w:rsid w:val="0063103F"/>
    <w:rsid w:val="00637AB0"/>
    <w:rsid w:val="00642528"/>
    <w:rsid w:val="006474CE"/>
    <w:rsid w:val="006524D4"/>
    <w:rsid w:val="006543E3"/>
    <w:rsid w:val="00662A27"/>
    <w:rsid w:val="00662CA7"/>
    <w:rsid w:val="006735C9"/>
    <w:rsid w:val="00674452"/>
    <w:rsid w:val="006749D6"/>
    <w:rsid w:val="00676CFE"/>
    <w:rsid w:val="00683DFE"/>
    <w:rsid w:val="00685C91"/>
    <w:rsid w:val="006879F3"/>
    <w:rsid w:val="00694175"/>
    <w:rsid w:val="006966FC"/>
    <w:rsid w:val="006E2C6C"/>
    <w:rsid w:val="006E5C73"/>
    <w:rsid w:val="006E6A2F"/>
    <w:rsid w:val="006F13A3"/>
    <w:rsid w:val="007106E2"/>
    <w:rsid w:val="00712458"/>
    <w:rsid w:val="00716FAA"/>
    <w:rsid w:val="00720ACA"/>
    <w:rsid w:val="00750F83"/>
    <w:rsid w:val="00752C8F"/>
    <w:rsid w:val="0076224D"/>
    <w:rsid w:val="00762738"/>
    <w:rsid w:val="007659FF"/>
    <w:rsid w:val="00771B49"/>
    <w:rsid w:val="007746CE"/>
    <w:rsid w:val="00774E4D"/>
    <w:rsid w:val="00775169"/>
    <w:rsid w:val="00780874"/>
    <w:rsid w:val="0078535D"/>
    <w:rsid w:val="007A7ECE"/>
    <w:rsid w:val="007B296D"/>
    <w:rsid w:val="007B55D5"/>
    <w:rsid w:val="007C65D9"/>
    <w:rsid w:val="007D6DF5"/>
    <w:rsid w:val="007F0EF4"/>
    <w:rsid w:val="007F7DCD"/>
    <w:rsid w:val="00801124"/>
    <w:rsid w:val="00803277"/>
    <w:rsid w:val="00815B0C"/>
    <w:rsid w:val="0081741F"/>
    <w:rsid w:val="008209C7"/>
    <w:rsid w:val="0082269B"/>
    <w:rsid w:val="00823B02"/>
    <w:rsid w:val="0083215D"/>
    <w:rsid w:val="00834D25"/>
    <w:rsid w:val="008351C8"/>
    <w:rsid w:val="008376A5"/>
    <w:rsid w:val="00845AC3"/>
    <w:rsid w:val="00847504"/>
    <w:rsid w:val="0086048D"/>
    <w:rsid w:val="00866508"/>
    <w:rsid w:val="00867767"/>
    <w:rsid w:val="0087005B"/>
    <w:rsid w:val="00881585"/>
    <w:rsid w:val="00881D33"/>
    <w:rsid w:val="00882096"/>
    <w:rsid w:val="00883D6C"/>
    <w:rsid w:val="008943E7"/>
    <w:rsid w:val="008A5FDC"/>
    <w:rsid w:val="008B1777"/>
    <w:rsid w:val="008B532D"/>
    <w:rsid w:val="008C3682"/>
    <w:rsid w:val="008D24BC"/>
    <w:rsid w:val="008D3074"/>
    <w:rsid w:val="008D3221"/>
    <w:rsid w:val="008D3D39"/>
    <w:rsid w:val="008D66B8"/>
    <w:rsid w:val="008E54C8"/>
    <w:rsid w:val="008E5BBD"/>
    <w:rsid w:val="008F4B8F"/>
    <w:rsid w:val="00904D0F"/>
    <w:rsid w:val="0090690C"/>
    <w:rsid w:val="00907662"/>
    <w:rsid w:val="00910F26"/>
    <w:rsid w:val="00911DB9"/>
    <w:rsid w:val="00913F21"/>
    <w:rsid w:val="00920448"/>
    <w:rsid w:val="009216C9"/>
    <w:rsid w:val="00955231"/>
    <w:rsid w:val="0096072E"/>
    <w:rsid w:val="00963C6F"/>
    <w:rsid w:val="009642D7"/>
    <w:rsid w:val="00966D40"/>
    <w:rsid w:val="00974FA9"/>
    <w:rsid w:val="009838A9"/>
    <w:rsid w:val="0098596D"/>
    <w:rsid w:val="00992CAE"/>
    <w:rsid w:val="00995AC2"/>
    <w:rsid w:val="009B7D1B"/>
    <w:rsid w:val="009D59D3"/>
    <w:rsid w:val="009E70CC"/>
    <w:rsid w:val="009E7D9D"/>
    <w:rsid w:val="00A0140F"/>
    <w:rsid w:val="00A04BFB"/>
    <w:rsid w:val="00A142B7"/>
    <w:rsid w:val="00A14C18"/>
    <w:rsid w:val="00A20D85"/>
    <w:rsid w:val="00A221FA"/>
    <w:rsid w:val="00A31A8E"/>
    <w:rsid w:val="00A37027"/>
    <w:rsid w:val="00A424B2"/>
    <w:rsid w:val="00A47D4A"/>
    <w:rsid w:val="00A51C04"/>
    <w:rsid w:val="00A55B9B"/>
    <w:rsid w:val="00A61B29"/>
    <w:rsid w:val="00A81378"/>
    <w:rsid w:val="00A85AE1"/>
    <w:rsid w:val="00A92EFA"/>
    <w:rsid w:val="00A97D49"/>
    <w:rsid w:val="00AA17C0"/>
    <w:rsid w:val="00AA3327"/>
    <w:rsid w:val="00AA3378"/>
    <w:rsid w:val="00AC5170"/>
    <w:rsid w:val="00AC6283"/>
    <w:rsid w:val="00AC799A"/>
    <w:rsid w:val="00AD14A5"/>
    <w:rsid w:val="00AD7AB3"/>
    <w:rsid w:val="00AE4640"/>
    <w:rsid w:val="00AE61F5"/>
    <w:rsid w:val="00AF05D9"/>
    <w:rsid w:val="00AF0A36"/>
    <w:rsid w:val="00AF67D4"/>
    <w:rsid w:val="00AF6BB4"/>
    <w:rsid w:val="00B1468C"/>
    <w:rsid w:val="00B3177F"/>
    <w:rsid w:val="00B31B92"/>
    <w:rsid w:val="00B34C9A"/>
    <w:rsid w:val="00B36F54"/>
    <w:rsid w:val="00B428BE"/>
    <w:rsid w:val="00B4658E"/>
    <w:rsid w:val="00B630F2"/>
    <w:rsid w:val="00B71EAA"/>
    <w:rsid w:val="00B75813"/>
    <w:rsid w:val="00B80F33"/>
    <w:rsid w:val="00BB4962"/>
    <w:rsid w:val="00BD56D1"/>
    <w:rsid w:val="00BE6FBD"/>
    <w:rsid w:val="00C14E9E"/>
    <w:rsid w:val="00C15790"/>
    <w:rsid w:val="00C24956"/>
    <w:rsid w:val="00C43D8A"/>
    <w:rsid w:val="00C44D82"/>
    <w:rsid w:val="00C45F8A"/>
    <w:rsid w:val="00C47F29"/>
    <w:rsid w:val="00C51AFC"/>
    <w:rsid w:val="00C536E8"/>
    <w:rsid w:val="00C5519A"/>
    <w:rsid w:val="00C55A66"/>
    <w:rsid w:val="00C616DF"/>
    <w:rsid w:val="00C658CA"/>
    <w:rsid w:val="00C66E90"/>
    <w:rsid w:val="00C70B69"/>
    <w:rsid w:val="00C74176"/>
    <w:rsid w:val="00C85082"/>
    <w:rsid w:val="00C85429"/>
    <w:rsid w:val="00C96321"/>
    <w:rsid w:val="00CA21ED"/>
    <w:rsid w:val="00CA25C7"/>
    <w:rsid w:val="00CA458C"/>
    <w:rsid w:val="00CB2E3D"/>
    <w:rsid w:val="00CB49D7"/>
    <w:rsid w:val="00CC3931"/>
    <w:rsid w:val="00CC4867"/>
    <w:rsid w:val="00CE2A14"/>
    <w:rsid w:val="00CE51A0"/>
    <w:rsid w:val="00D060F4"/>
    <w:rsid w:val="00D10ADA"/>
    <w:rsid w:val="00D12501"/>
    <w:rsid w:val="00D200E8"/>
    <w:rsid w:val="00D22FDB"/>
    <w:rsid w:val="00D356A3"/>
    <w:rsid w:val="00D3622B"/>
    <w:rsid w:val="00D37331"/>
    <w:rsid w:val="00D40819"/>
    <w:rsid w:val="00D41C9A"/>
    <w:rsid w:val="00D52A9A"/>
    <w:rsid w:val="00D64E65"/>
    <w:rsid w:val="00D659C5"/>
    <w:rsid w:val="00D65A5E"/>
    <w:rsid w:val="00D66AA4"/>
    <w:rsid w:val="00D72E19"/>
    <w:rsid w:val="00D81F8F"/>
    <w:rsid w:val="00D86239"/>
    <w:rsid w:val="00D866D7"/>
    <w:rsid w:val="00D870FF"/>
    <w:rsid w:val="00D93295"/>
    <w:rsid w:val="00DB011F"/>
    <w:rsid w:val="00DB12FA"/>
    <w:rsid w:val="00DB1A44"/>
    <w:rsid w:val="00DC08DB"/>
    <w:rsid w:val="00DC42A1"/>
    <w:rsid w:val="00DD5682"/>
    <w:rsid w:val="00DE162A"/>
    <w:rsid w:val="00DE5133"/>
    <w:rsid w:val="00DE7B41"/>
    <w:rsid w:val="00E07942"/>
    <w:rsid w:val="00E27310"/>
    <w:rsid w:val="00E545EA"/>
    <w:rsid w:val="00E62B74"/>
    <w:rsid w:val="00E661EE"/>
    <w:rsid w:val="00E736CB"/>
    <w:rsid w:val="00E76C0F"/>
    <w:rsid w:val="00E818CB"/>
    <w:rsid w:val="00E8342B"/>
    <w:rsid w:val="00E93F86"/>
    <w:rsid w:val="00EA113C"/>
    <w:rsid w:val="00EA42F7"/>
    <w:rsid w:val="00EB0EE2"/>
    <w:rsid w:val="00EB471B"/>
    <w:rsid w:val="00EB65A0"/>
    <w:rsid w:val="00EC30F9"/>
    <w:rsid w:val="00EC3DF4"/>
    <w:rsid w:val="00EC4AFA"/>
    <w:rsid w:val="00ED5B69"/>
    <w:rsid w:val="00EE10EC"/>
    <w:rsid w:val="00EE658C"/>
    <w:rsid w:val="00EE753A"/>
    <w:rsid w:val="00EE7EF0"/>
    <w:rsid w:val="00F04568"/>
    <w:rsid w:val="00F43565"/>
    <w:rsid w:val="00F43ADD"/>
    <w:rsid w:val="00F47240"/>
    <w:rsid w:val="00F50679"/>
    <w:rsid w:val="00F5283F"/>
    <w:rsid w:val="00F603F8"/>
    <w:rsid w:val="00F60DC6"/>
    <w:rsid w:val="00F70E31"/>
    <w:rsid w:val="00F74A3C"/>
    <w:rsid w:val="00F77A10"/>
    <w:rsid w:val="00F81228"/>
    <w:rsid w:val="00F82FBC"/>
    <w:rsid w:val="00F91C22"/>
    <w:rsid w:val="00F95F94"/>
    <w:rsid w:val="00F96E4E"/>
    <w:rsid w:val="00FA1E6C"/>
    <w:rsid w:val="00FB2AFF"/>
    <w:rsid w:val="00FB43E0"/>
    <w:rsid w:val="00FC2754"/>
    <w:rsid w:val="00FC48B0"/>
    <w:rsid w:val="00FD2D52"/>
    <w:rsid w:val="00FE00A5"/>
    <w:rsid w:val="00FF6F6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C84B"/>
  <w15:docId w15:val="{85C8D954-942E-4980-8B24-1359D3E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40"/>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383F"/>
    <w:rPr>
      <w:rFonts w:ascii="Tahoma" w:hAnsi="Tahoma" w:cs="Tahoma"/>
      <w:sz w:val="16"/>
      <w:szCs w:val="16"/>
    </w:rPr>
  </w:style>
  <w:style w:type="character" w:styleId="CommentReference">
    <w:name w:val="annotation reference"/>
    <w:basedOn w:val="DefaultParagraphFont"/>
    <w:rsid w:val="006543E3"/>
    <w:rPr>
      <w:sz w:val="16"/>
      <w:szCs w:val="16"/>
    </w:rPr>
  </w:style>
  <w:style w:type="paragraph" w:styleId="CommentText">
    <w:name w:val="annotation text"/>
    <w:basedOn w:val="Normal"/>
    <w:link w:val="CommentTextChar"/>
    <w:rsid w:val="006543E3"/>
    <w:rPr>
      <w:sz w:val="20"/>
      <w:szCs w:val="20"/>
    </w:rPr>
  </w:style>
  <w:style w:type="character" w:customStyle="1" w:styleId="CommentTextChar">
    <w:name w:val="Comment Text Char"/>
    <w:basedOn w:val="DefaultParagraphFont"/>
    <w:link w:val="CommentText"/>
    <w:rsid w:val="006543E3"/>
    <w:rPr>
      <w:lang w:val="en-ZA"/>
    </w:rPr>
  </w:style>
  <w:style w:type="paragraph" w:styleId="CommentSubject">
    <w:name w:val="annotation subject"/>
    <w:basedOn w:val="CommentText"/>
    <w:next w:val="CommentText"/>
    <w:link w:val="CommentSubjectChar"/>
    <w:rsid w:val="006543E3"/>
    <w:rPr>
      <w:b/>
      <w:bCs/>
    </w:rPr>
  </w:style>
  <w:style w:type="character" w:customStyle="1" w:styleId="CommentSubjectChar">
    <w:name w:val="Comment Subject Char"/>
    <w:basedOn w:val="CommentTextChar"/>
    <w:link w:val="CommentSubject"/>
    <w:rsid w:val="006543E3"/>
    <w:rPr>
      <w:b/>
      <w:bCs/>
      <w:lang w:val="en-ZA"/>
    </w:rPr>
  </w:style>
  <w:style w:type="paragraph" w:customStyle="1" w:styleId="Default">
    <w:name w:val="Default"/>
    <w:rsid w:val="006543E3"/>
    <w:pPr>
      <w:autoSpaceDE w:val="0"/>
      <w:autoSpaceDN w:val="0"/>
      <w:adjustRightInd w:val="0"/>
    </w:pPr>
    <w:rPr>
      <w:rFonts w:ascii="Verdana" w:hAnsi="Verdana" w:cs="Verdana"/>
      <w:color w:val="000000"/>
      <w:sz w:val="24"/>
      <w:szCs w:val="24"/>
      <w:lang w:eastAsia="en-US"/>
    </w:rPr>
  </w:style>
  <w:style w:type="character" w:customStyle="1" w:styleId="apple-converted-space">
    <w:name w:val="apple-converted-space"/>
    <w:basedOn w:val="DefaultParagraphFont"/>
    <w:rsid w:val="007C65D9"/>
  </w:style>
  <w:style w:type="paragraph" w:styleId="FootnoteText">
    <w:name w:val="footnote text"/>
    <w:aliases w:val="Footnote Text Char1 Char,Footnote Text Char Char Char,Footnote Text Char1 Char Char Char,Footnote Text Char Char Char Char Char,Footnote Text Char1 Char Char Char Char Char,Footnote Text Char Char,Footnote Text Char Char1,single space Char"/>
    <w:basedOn w:val="Normal"/>
    <w:link w:val="FootnoteTextChar"/>
    <w:uiPriority w:val="99"/>
    <w:unhideWhenUsed/>
    <w:qFormat/>
    <w:rsid w:val="004A5089"/>
    <w:pPr>
      <w:jc w:val="left"/>
    </w:pPr>
    <w:rPr>
      <w:rFonts w:asciiTheme="minorHAnsi" w:eastAsiaTheme="minorHAnsi" w:hAnsiTheme="minorHAnsi" w:cstheme="minorBid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 Char Char1"/>
    <w:basedOn w:val="DefaultParagraphFont"/>
    <w:link w:val="FootnoteText"/>
    <w:uiPriority w:val="99"/>
    <w:rsid w:val="004A5089"/>
    <w:rPr>
      <w:rFonts w:asciiTheme="minorHAnsi" w:eastAsiaTheme="minorHAnsi" w:hAnsiTheme="minorHAnsi" w:cstheme="minorBidi"/>
      <w:lang w:eastAsia="en-US"/>
    </w:rPr>
  </w:style>
  <w:style w:type="character" w:styleId="FootnoteReference">
    <w:name w:val="footnote reference"/>
    <w:aliases w:val="Ref,de nota al pie,註腳內容,Footnotes refss,Appel note de bas de page,(NECG) Footnote Reference,fr,Footnote Reference + Superscript"/>
    <w:basedOn w:val="DefaultParagraphFont"/>
    <w:uiPriority w:val="99"/>
    <w:unhideWhenUsed/>
    <w:qFormat/>
    <w:rsid w:val="004A5089"/>
    <w:rPr>
      <w:vertAlign w:val="superscript"/>
    </w:rPr>
  </w:style>
  <w:style w:type="paragraph" w:customStyle="1" w:styleId="JUDGMENTNUMBERED">
    <w:name w:val="JUDGMENT NUMBERED"/>
    <w:basedOn w:val="Normal"/>
    <w:next w:val="Normal"/>
    <w:link w:val="JUDGMENTNUMBEREDChar"/>
    <w:qFormat/>
    <w:rsid w:val="00AD7AB3"/>
    <w:pPr>
      <w:numPr>
        <w:numId w:val="2"/>
      </w:numPr>
      <w:spacing w:line="360" w:lineRule="auto"/>
    </w:pPr>
    <w:rPr>
      <w:rFonts w:eastAsia="Calibri"/>
      <w:sz w:val="26"/>
      <w:szCs w:val="22"/>
    </w:rPr>
  </w:style>
  <w:style w:type="paragraph" w:customStyle="1" w:styleId="JUDGMENTCONTINUED">
    <w:name w:val="JUDGMENT CONTINUED"/>
    <w:basedOn w:val="JUDGMENTNUMBERED"/>
    <w:next w:val="JUDGMENTNUMBERED"/>
    <w:qFormat/>
    <w:rsid w:val="00771B49"/>
    <w:pPr>
      <w:numPr>
        <w:numId w:val="0"/>
      </w:numPr>
    </w:pPr>
  </w:style>
  <w:style w:type="character" w:customStyle="1" w:styleId="JUDGMENTNUMBEREDChar">
    <w:name w:val="JUDGMENT NUMBERED Char"/>
    <w:basedOn w:val="DefaultParagraphFont"/>
    <w:link w:val="JUDGMENTNUMBERED"/>
    <w:rsid w:val="00771B49"/>
    <w:rPr>
      <w:rFonts w:eastAsia="Calibri"/>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64441">
      <w:bodyDiv w:val="1"/>
      <w:marLeft w:val="0"/>
      <w:marRight w:val="0"/>
      <w:marTop w:val="0"/>
      <w:marBottom w:val="0"/>
      <w:divBdr>
        <w:top w:val="none" w:sz="0" w:space="0" w:color="auto"/>
        <w:left w:val="none" w:sz="0" w:space="0" w:color="auto"/>
        <w:bottom w:val="none" w:sz="0" w:space="0" w:color="auto"/>
        <w:right w:val="none" w:sz="0" w:space="0" w:color="auto"/>
      </w:divBdr>
    </w:div>
    <w:div w:id="1212116156">
      <w:bodyDiv w:val="1"/>
      <w:marLeft w:val="0"/>
      <w:marRight w:val="0"/>
      <w:marTop w:val="0"/>
      <w:marBottom w:val="0"/>
      <w:divBdr>
        <w:top w:val="none" w:sz="0" w:space="0" w:color="auto"/>
        <w:left w:val="none" w:sz="0" w:space="0" w:color="auto"/>
        <w:bottom w:val="none" w:sz="0" w:space="0" w:color="auto"/>
        <w:right w:val="none" w:sz="0" w:space="0" w:color="auto"/>
      </w:divBdr>
    </w:div>
    <w:div w:id="12929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CF121A.2263A8C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07A07-4128-4926-A0B2-3999DE21E069}">
  <ds:schemaRefs>
    <ds:schemaRef ds:uri="http://schemas.openxmlformats.org/officeDocument/2006/bibliography"/>
  </ds:schemaRefs>
</ds:datastoreItem>
</file>

<file path=customXml/itemProps2.xml><?xml version="1.0" encoding="utf-8"?>
<ds:datastoreItem xmlns:ds="http://schemas.openxmlformats.org/officeDocument/2006/customXml" ds:itemID="{43F80680-C56C-4818-9385-01651848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CONSTITIONAL COURT OF SOUTH AFRICA</vt:lpstr>
    </vt:vector>
  </TitlesOfParts>
  <Company>Court</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CONSTITIONAL COURT OF SOUTH AFRICA</dc:title>
  <dc:creator>Dasantha Pillay</dc:creator>
  <cp:lastModifiedBy>Mary Bruce</cp:lastModifiedBy>
  <cp:revision>2</cp:revision>
  <cp:lastPrinted>2019-05-22T07:22:00Z</cp:lastPrinted>
  <dcterms:created xsi:type="dcterms:W3CDTF">2021-12-30T16:50:00Z</dcterms:created>
  <dcterms:modified xsi:type="dcterms:W3CDTF">2021-12-30T16:50:00Z</dcterms:modified>
</cp:coreProperties>
</file>