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14F99" w14:textId="77777777" w:rsidR="00927EC2" w:rsidRPr="003238CA" w:rsidRDefault="00927EC2" w:rsidP="00927EC2">
      <w:pPr>
        <w:spacing w:line="360" w:lineRule="auto"/>
        <w:rPr>
          <w:rFonts w:ascii="Arial" w:eastAsia="Times New Roman" w:hAnsi="Arial" w:cs="Arial"/>
          <w:sz w:val="20"/>
          <w:szCs w:val="20"/>
          <w:lang w:eastAsia="en-ZA"/>
        </w:rPr>
      </w:pPr>
      <w:bookmarkStart w:id="0" w:name="_GoBack"/>
      <w:bookmarkEnd w:id="0"/>
      <w:r w:rsidRPr="003238CA">
        <w:rPr>
          <w:rFonts w:ascii="Arial" w:eastAsia="Times New Roman" w:hAnsi="Arial" w:cs="Arial"/>
          <w:noProof/>
          <w:sz w:val="20"/>
          <w:szCs w:val="20"/>
          <w:lang w:val="en-US"/>
        </w:rPr>
        <w:drawing>
          <wp:anchor distT="57785" distB="57785" distL="57785" distR="57785" simplePos="0" relativeHeight="251659264" behindDoc="1" locked="0" layoutInCell="0" allowOverlap="1" wp14:anchorId="5DFC148B" wp14:editId="2AAD0FEF">
            <wp:simplePos x="0" y="0"/>
            <wp:positionH relativeFrom="page">
              <wp:align>center</wp:align>
            </wp:positionH>
            <wp:positionV relativeFrom="page">
              <wp:posOffset>801370</wp:posOffset>
            </wp:positionV>
            <wp:extent cx="799200" cy="925200"/>
            <wp:effectExtent l="0" t="0" r="1270" b="8255"/>
            <wp:wrapThrough wrapText="bothSides">
              <wp:wrapPolygon edited="0">
                <wp:start x="0" y="0"/>
                <wp:lineTo x="0" y="21348"/>
                <wp:lineTo x="21119" y="21348"/>
                <wp:lineTo x="211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071" r="-1071"/>
                    <a:stretch>
                      <a:fillRect/>
                    </a:stretch>
                  </pic:blipFill>
                  <pic:spPr bwMode="auto">
                    <a:xfrm>
                      <a:off x="0" y="0"/>
                      <a:ext cx="799200" cy="925200"/>
                    </a:xfrm>
                    <a:prstGeom prst="rect">
                      <a:avLst/>
                    </a:prstGeom>
                    <a:noFill/>
                  </pic:spPr>
                </pic:pic>
              </a:graphicData>
            </a:graphic>
            <wp14:sizeRelH relativeFrom="page">
              <wp14:pctWidth>0</wp14:pctWidth>
            </wp14:sizeRelH>
            <wp14:sizeRelV relativeFrom="page">
              <wp14:pctHeight>0</wp14:pctHeight>
            </wp14:sizeRelV>
          </wp:anchor>
        </w:drawing>
      </w:r>
    </w:p>
    <w:p w14:paraId="4D5746F2" w14:textId="77777777" w:rsidR="00927EC2" w:rsidRPr="003238CA" w:rsidRDefault="00927EC2" w:rsidP="00927EC2">
      <w:pPr>
        <w:spacing w:line="360" w:lineRule="auto"/>
        <w:rPr>
          <w:rFonts w:ascii="Arial" w:eastAsia="Times New Roman" w:hAnsi="Arial" w:cs="Arial"/>
          <w:sz w:val="20"/>
          <w:szCs w:val="20"/>
          <w:lang w:eastAsia="en-ZA"/>
        </w:rPr>
      </w:pPr>
    </w:p>
    <w:p w14:paraId="28498BC2" w14:textId="77777777" w:rsidR="00927EC2" w:rsidRPr="003238CA" w:rsidRDefault="00927EC2" w:rsidP="003B2A50">
      <w:pPr>
        <w:spacing w:after="0" w:line="360" w:lineRule="auto"/>
        <w:rPr>
          <w:rFonts w:ascii="Arial" w:eastAsia="Times New Roman" w:hAnsi="Arial" w:cs="Arial"/>
          <w:sz w:val="20"/>
          <w:szCs w:val="20"/>
          <w:lang w:eastAsia="en-ZA"/>
        </w:rPr>
      </w:pPr>
    </w:p>
    <w:p w14:paraId="28834AA6" w14:textId="6A988C29" w:rsidR="00927EC2" w:rsidRPr="003238CA" w:rsidRDefault="00927EC2" w:rsidP="003B2A50">
      <w:pPr>
        <w:spacing w:before="240" w:after="0" w:line="360" w:lineRule="auto"/>
        <w:jc w:val="center"/>
        <w:rPr>
          <w:rFonts w:ascii="Arial" w:eastAsia="Times New Roman" w:hAnsi="Arial" w:cs="Arial"/>
          <w:b/>
          <w:bCs/>
          <w:sz w:val="24"/>
          <w:szCs w:val="24"/>
          <w:lang w:eastAsia="en-ZA"/>
        </w:rPr>
      </w:pPr>
      <w:r w:rsidRPr="003238CA">
        <w:rPr>
          <w:rFonts w:ascii="Arial" w:eastAsia="Times New Roman" w:hAnsi="Arial" w:cs="Arial"/>
          <w:b/>
          <w:bCs/>
          <w:sz w:val="24"/>
          <w:szCs w:val="24"/>
          <w:lang w:eastAsia="en-ZA"/>
        </w:rPr>
        <w:t>THE SUPREME COURT OF APPEAL OF SOUTH AFRICA</w:t>
      </w:r>
    </w:p>
    <w:p w14:paraId="4FD38C7C" w14:textId="74A65A32" w:rsidR="00927EC2" w:rsidRPr="003238CA" w:rsidRDefault="00927EC2" w:rsidP="00403B5E">
      <w:pPr>
        <w:spacing w:after="0" w:line="360" w:lineRule="auto"/>
        <w:jc w:val="center"/>
        <w:rPr>
          <w:rFonts w:ascii="Arial" w:eastAsia="Times New Roman" w:hAnsi="Arial" w:cs="Arial"/>
          <w:bCs/>
          <w:sz w:val="24"/>
          <w:szCs w:val="24"/>
          <w:lang w:eastAsia="en-ZA"/>
        </w:rPr>
      </w:pPr>
      <w:r w:rsidRPr="003238CA">
        <w:rPr>
          <w:rFonts w:ascii="Arial" w:eastAsia="Times New Roman" w:hAnsi="Arial" w:cs="Arial"/>
          <w:bCs/>
          <w:sz w:val="24"/>
          <w:szCs w:val="24"/>
          <w:lang w:eastAsia="en-ZA"/>
        </w:rPr>
        <w:t>MEDIA SUMMARY OF JUDGMENT DELIVERED</w:t>
      </w:r>
      <w:r w:rsidR="00403B5E" w:rsidRPr="003238CA">
        <w:rPr>
          <w:rFonts w:ascii="Arial" w:eastAsia="Times New Roman" w:hAnsi="Arial" w:cs="Arial"/>
          <w:bCs/>
          <w:sz w:val="24"/>
          <w:szCs w:val="24"/>
          <w:lang w:eastAsia="en-ZA"/>
        </w:rPr>
        <w:t xml:space="preserve"> IN THE SUPREME COURT OF APPEAL</w:t>
      </w:r>
    </w:p>
    <w:p w14:paraId="6E6003C6" w14:textId="2DD5263C" w:rsidR="00927EC2" w:rsidRPr="003238CA" w:rsidRDefault="00927EC2" w:rsidP="003014C5">
      <w:pPr>
        <w:spacing w:after="0" w:line="360" w:lineRule="auto"/>
        <w:jc w:val="both"/>
        <w:rPr>
          <w:rFonts w:ascii="Arial" w:eastAsia="Times New Roman" w:hAnsi="Arial" w:cs="Arial"/>
          <w:b/>
          <w:bCs/>
          <w:i/>
          <w:iCs/>
          <w:sz w:val="20"/>
          <w:szCs w:val="20"/>
          <w:lang w:eastAsia="en-ZA"/>
        </w:rPr>
      </w:pPr>
    </w:p>
    <w:p w14:paraId="747DB5F2" w14:textId="662851C1" w:rsidR="00927EC2" w:rsidRPr="003238CA" w:rsidRDefault="00927EC2" w:rsidP="003014C5">
      <w:pPr>
        <w:spacing w:line="360" w:lineRule="auto"/>
        <w:jc w:val="both"/>
        <w:rPr>
          <w:rFonts w:ascii="Arial" w:eastAsia="Times New Roman" w:hAnsi="Arial" w:cs="Arial"/>
          <w:sz w:val="20"/>
          <w:szCs w:val="20"/>
          <w:lang w:eastAsia="en-ZA"/>
        </w:rPr>
      </w:pPr>
      <w:r w:rsidRPr="003238CA">
        <w:rPr>
          <w:rFonts w:ascii="Arial" w:eastAsia="Times New Roman" w:hAnsi="Arial" w:cs="Arial"/>
          <w:b/>
          <w:bCs/>
          <w:sz w:val="20"/>
          <w:szCs w:val="20"/>
          <w:lang w:eastAsia="en-ZA"/>
        </w:rPr>
        <w:t>From:</w:t>
      </w:r>
      <w:r w:rsidRPr="003238CA">
        <w:rPr>
          <w:rFonts w:ascii="Arial" w:eastAsia="Times New Roman" w:hAnsi="Arial" w:cs="Arial"/>
          <w:b/>
          <w:bCs/>
          <w:sz w:val="20"/>
          <w:szCs w:val="20"/>
          <w:lang w:eastAsia="en-ZA"/>
        </w:rPr>
        <w:tab/>
      </w:r>
      <w:r w:rsidRPr="003238CA">
        <w:rPr>
          <w:rFonts w:ascii="Arial" w:eastAsia="Times New Roman" w:hAnsi="Arial" w:cs="Arial"/>
          <w:b/>
          <w:bCs/>
          <w:sz w:val="20"/>
          <w:szCs w:val="20"/>
          <w:lang w:eastAsia="en-ZA"/>
        </w:rPr>
        <w:tab/>
      </w:r>
      <w:r w:rsidRPr="003238CA">
        <w:rPr>
          <w:rFonts w:ascii="Arial" w:eastAsia="Times New Roman" w:hAnsi="Arial" w:cs="Arial"/>
          <w:sz w:val="20"/>
          <w:szCs w:val="20"/>
          <w:lang w:eastAsia="en-ZA"/>
        </w:rPr>
        <w:t>The Registrar, Supreme Court of Appeal</w:t>
      </w:r>
    </w:p>
    <w:p w14:paraId="15B9EECA" w14:textId="2D7CB766" w:rsidR="00927EC2" w:rsidRPr="003238CA" w:rsidRDefault="00927EC2" w:rsidP="003014C5">
      <w:pPr>
        <w:spacing w:line="360" w:lineRule="auto"/>
        <w:jc w:val="both"/>
        <w:rPr>
          <w:rFonts w:ascii="Arial" w:eastAsia="Times New Roman" w:hAnsi="Arial" w:cs="Arial"/>
          <w:sz w:val="20"/>
          <w:szCs w:val="20"/>
          <w:lang w:eastAsia="en-ZA"/>
        </w:rPr>
      </w:pPr>
      <w:r w:rsidRPr="003238CA">
        <w:rPr>
          <w:rFonts w:ascii="Arial" w:eastAsia="Times New Roman" w:hAnsi="Arial" w:cs="Arial"/>
          <w:b/>
          <w:bCs/>
          <w:sz w:val="20"/>
          <w:szCs w:val="20"/>
          <w:lang w:eastAsia="en-ZA"/>
        </w:rPr>
        <w:t>Date:</w:t>
      </w:r>
      <w:r w:rsidRPr="003238CA">
        <w:rPr>
          <w:rFonts w:ascii="Arial" w:eastAsia="Times New Roman" w:hAnsi="Arial" w:cs="Arial"/>
          <w:b/>
          <w:bCs/>
          <w:sz w:val="20"/>
          <w:szCs w:val="20"/>
          <w:lang w:eastAsia="en-ZA"/>
        </w:rPr>
        <w:tab/>
        <w:t xml:space="preserve"> </w:t>
      </w:r>
      <w:r w:rsidRPr="003238CA">
        <w:rPr>
          <w:rFonts w:ascii="Arial" w:eastAsia="Times New Roman" w:hAnsi="Arial" w:cs="Arial"/>
          <w:b/>
          <w:bCs/>
          <w:sz w:val="20"/>
          <w:szCs w:val="20"/>
          <w:lang w:eastAsia="en-ZA"/>
        </w:rPr>
        <w:tab/>
      </w:r>
      <w:r w:rsidR="00DF4571">
        <w:rPr>
          <w:rFonts w:ascii="Arial" w:eastAsia="Times New Roman" w:hAnsi="Arial" w:cs="Arial"/>
          <w:bCs/>
          <w:sz w:val="20"/>
          <w:szCs w:val="20"/>
          <w:lang w:eastAsia="en-ZA"/>
        </w:rPr>
        <w:t>13</w:t>
      </w:r>
      <w:r w:rsidR="00A81A8B">
        <w:rPr>
          <w:rFonts w:ascii="Arial" w:eastAsia="Times New Roman" w:hAnsi="Arial" w:cs="Arial"/>
          <w:bCs/>
          <w:sz w:val="20"/>
          <w:szCs w:val="20"/>
          <w:lang w:eastAsia="en-ZA"/>
        </w:rPr>
        <w:t xml:space="preserve"> April 2023</w:t>
      </w:r>
    </w:p>
    <w:p w14:paraId="190A8830" w14:textId="00E9ADCA" w:rsidR="00927EC2" w:rsidRPr="003238CA" w:rsidRDefault="003238CA" w:rsidP="003014C5">
      <w:pPr>
        <w:spacing w:line="360" w:lineRule="auto"/>
        <w:jc w:val="both"/>
        <w:rPr>
          <w:rFonts w:ascii="Arial" w:eastAsia="Times New Roman" w:hAnsi="Arial" w:cs="Arial"/>
          <w:sz w:val="20"/>
          <w:szCs w:val="20"/>
          <w:lang w:eastAsia="en-ZA"/>
        </w:rPr>
      </w:pPr>
      <w:r>
        <w:rPr>
          <w:rFonts w:ascii="Arial" w:eastAsia="Times New Roman" w:hAnsi="Arial" w:cs="Arial"/>
          <w:b/>
          <w:bCs/>
          <w:sz w:val="20"/>
          <w:szCs w:val="20"/>
          <w:lang w:eastAsia="en-ZA"/>
        </w:rPr>
        <w:t xml:space="preserve">Status: </w:t>
      </w:r>
      <w:r>
        <w:rPr>
          <w:rFonts w:ascii="Arial" w:eastAsia="Times New Roman" w:hAnsi="Arial" w:cs="Arial"/>
          <w:b/>
          <w:bCs/>
          <w:sz w:val="20"/>
          <w:szCs w:val="20"/>
          <w:lang w:eastAsia="en-ZA"/>
        </w:rPr>
        <w:tab/>
      </w:r>
      <w:r w:rsidR="00927EC2" w:rsidRPr="003238CA">
        <w:rPr>
          <w:rFonts w:ascii="Arial" w:eastAsia="Times New Roman" w:hAnsi="Arial" w:cs="Arial"/>
          <w:sz w:val="20"/>
          <w:szCs w:val="20"/>
          <w:lang w:eastAsia="en-ZA"/>
        </w:rPr>
        <w:t>Immediate</w:t>
      </w:r>
    </w:p>
    <w:p w14:paraId="441753E2" w14:textId="7641DAD1" w:rsidR="00927EC2" w:rsidRPr="003238CA" w:rsidRDefault="00927EC2" w:rsidP="00EB50D6">
      <w:pPr>
        <w:spacing w:line="276" w:lineRule="auto"/>
        <w:jc w:val="both"/>
        <w:rPr>
          <w:rFonts w:ascii="Arial" w:eastAsia="Times New Roman" w:hAnsi="Arial" w:cs="Arial"/>
          <w:b/>
          <w:bCs/>
          <w:i/>
          <w:iCs/>
          <w:sz w:val="20"/>
          <w:szCs w:val="20"/>
          <w:lang w:eastAsia="en-ZA"/>
        </w:rPr>
      </w:pPr>
      <w:r w:rsidRPr="003238CA">
        <w:rPr>
          <w:rFonts w:ascii="Arial" w:eastAsia="Times New Roman" w:hAnsi="Arial" w:cs="Arial"/>
          <w:b/>
          <w:bCs/>
          <w:i/>
          <w:iCs/>
          <w:sz w:val="20"/>
          <w:szCs w:val="20"/>
          <w:lang w:eastAsia="en-ZA"/>
        </w:rPr>
        <w:t>The following summary is for the benefit of the media in the reporting of this case and does not form part of the judgments of the Supreme Court of Appeal</w:t>
      </w:r>
    </w:p>
    <w:p w14:paraId="0DE1B384" w14:textId="38F170B5" w:rsidR="00B60859" w:rsidRPr="00B60859" w:rsidRDefault="00B60859" w:rsidP="00ED485E">
      <w:pPr>
        <w:pBdr>
          <w:bottom w:val="single" w:sz="12" w:space="0" w:color="auto"/>
        </w:pBdr>
        <w:spacing w:line="360" w:lineRule="auto"/>
        <w:jc w:val="both"/>
        <w:rPr>
          <w:rFonts w:ascii="Arial" w:eastAsia="Times New Roman" w:hAnsi="Arial" w:cs="Arial"/>
          <w:bCs/>
          <w:iCs/>
          <w:sz w:val="20"/>
          <w:szCs w:val="20"/>
          <w:lang w:val="en-GB" w:eastAsia="en-ZA"/>
        </w:rPr>
      </w:pPr>
      <w:r w:rsidRPr="00B60859">
        <w:rPr>
          <w:rFonts w:ascii="Arial" w:eastAsia="Times New Roman" w:hAnsi="Arial" w:cs="Arial"/>
          <w:bCs/>
          <w:i/>
          <w:iCs/>
          <w:sz w:val="20"/>
          <w:szCs w:val="20"/>
          <w:lang w:val="en-GB" w:eastAsia="en-ZA"/>
        </w:rPr>
        <w:t xml:space="preserve">Samuels v Salie-Hlophe </w:t>
      </w:r>
      <w:r w:rsidRPr="00B60859">
        <w:rPr>
          <w:rFonts w:ascii="Arial" w:eastAsia="Times New Roman" w:hAnsi="Arial" w:cs="Arial"/>
          <w:bCs/>
          <w:iCs/>
          <w:sz w:val="20"/>
          <w:szCs w:val="20"/>
          <w:lang w:val="en-GB" w:eastAsia="en-ZA"/>
        </w:rPr>
        <w:t xml:space="preserve">(Case no 771/21) [2023] ZASCA </w:t>
      </w:r>
      <w:r w:rsidR="00DF4571">
        <w:rPr>
          <w:rFonts w:ascii="Arial" w:eastAsia="Times New Roman" w:hAnsi="Arial" w:cs="Arial"/>
          <w:bCs/>
          <w:iCs/>
          <w:sz w:val="20"/>
          <w:szCs w:val="20"/>
          <w:lang w:val="en-GB" w:eastAsia="en-ZA"/>
        </w:rPr>
        <w:t>49 (13</w:t>
      </w:r>
      <w:r w:rsidRPr="00B60859">
        <w:rPr>
          <w:rFonts w:ascii="Arial" w:eastAsia="Times New Roman" w:hAnsi="Arial" w:cs="Arial"/>
          <w:bCs/>
          <w:iCs/>
          <w:sz w:val="20"/>
          <w:szCs w:val="20"/>
          <w:lang w:val="en-GB" w:eastAsia="en-ZA"/>
        </w:rPr>
        <w:t xml:space="preserve"> April 2023)</w:t>
      </w:r>
    </w:p>
    <w:p w14:paraId="102C9F5F" w14:textId="3B862DCF" w:rsidR="00BB47D6" w:rsidRPr="00937052" w:rsidRDefault="00BB47D6" w:rsidP="00BB47D6">
      <w:pPr>
        <w:spacing w:line="240" w:lineRule="auto"/>
        <w:jc w:val="both"/>
        <w:rPr>
          <w:rFonts w:ascii="Arial" w:hAnsi="Arial" w:cs="Arial"/>
          <w:sz w:val="20"/>
          <w:szCs w:val="20"/>
          <w:lang w:val="en-GB"/>
        </w:rPr>
      </w:pPr>
      <w:r w:rsidRPr="00937052">
        <w:rPr>
          <w:rFonts w:ascii="Arial" w:hAnsi="Arial" w:cs="Arial"/>
          <w:sz w:val="20"/>
          <w:szCs w:val="20"/>
        </w:rPr>
        <w:t xml:space="preserve">Today the Supreme Court of Appeal (SCA) handed down judgment upholding, with no order </w:t>
      </w:r>
      <w:r w:rsidRPr="00755583">
        <w:rPr>
          <w:rFonts w:ascii="Arial" w:hAnsi="Arial" w:cs="Arial"/>
          <w:sz w:val="20"/>
          <w:szCs w:val="20"/>
        </w:rPr>
        <w:t>as</w:t>
      </w:r>
      <w:r>
        <w:rPr>
          <w:rFonts w:ascii="Arial" w:hAnsi="Arial" w:cs="Arial"/>
          <w:sz w:val="20"/>
          <w:szCs w:val="20"/>
        </w:rPr>
        <w:t xml:space="preserve"> </w:t>
      </w:r>
      <w:r w:rsidRPr="00937052">
        <w:rPr>
          <w:rFonts w:ascii="Arial" w:hAnsi="Arial" w:cs="Arial"/>
          <w:sz w:val="20"/>
          <w:szCs w:val="20"/>
        </w:rPr>
        <w:t>to costs,</w:t>
      </w:r>
      <w:r w:rsidR="00B70460">
        <w:rPr>
          <w:rFonts w:ascii="Arial" w:hAnsi="Arial" w:cs="Arial"/>
          <w:sz w:val="20"/>
          <w:szCs w:val="20"/>
        </w:rPr>
        <w:t xml:space="preserve"> an appeal against</w:t>
      </w:r>
      <w:r w:rsidRPr="00937052">
        <w:rPr>
          <w:rFonts w:ascii="Arial" w:hAnsi="Arial" w:cs="Arial"/>
          <w:bCs/>
          <w:sz w:val="20"/>
          <w:szCs w:val="20"/>
          <w:lang w:val="en-GB"/>
        </w:rPr>
        <w:t xml:space="preserve"> the </w:t>
      </w:r>
      <w:r w:rsidRPr="00937052">
        <w:rPr>
          <w:rFonts w:ascii="Arial" w:hAnsi="Arial" w:cs="Arial"/>
          <w:sz w:val="20"/>
          <w:szCs w:val="20"/>
          <w:lang w:val="en-GB"/>
        </w:rPr>
        <w:t xml:space="preserve">decision of the Western Cape Division of the High Court, Cape Town (the high court). </w:t>
      </w:r>
    </w:p>
    <w:p w14:paraId="2F7C9BD5" w14:textId="5A7CD6E2" w:rsidR="00BB3AE4" w:rsidRPr="003238CA" w:rsidRDefault="00700CCC" w:rsidP="001E1293">
      <w:pPr>
        <w:spacing w:line="240" w:lineRule="auto"/>
        <w:jc w:val="both"/>
        <w:rPr>
          <w:rFonts w:ascii="Arial" w:hAnsi="Arial" w:cs="Arial"/>
          <w:sz w:val="20"/>
          <w:szCs w:val="20"/>
          <w:lang w:val="en-GB"/>
        </w:rPr>
      </w:pPr>
      <w:r w:rsidRPr="003238CA">
        <w:rPr>
          <w:rFonts w:ascii="Arial" w:hAnsi="Arial" w:cs="Arial"/>
          <w:sz w:val="20"/>
          <w:szCs w:val="20"/>
        </w:rPr>
        <w:t xml:space="preserve">The </w:t>
      </w:r>
      <w:r w:rsidR="00C87B3F" w:rsidRPr="003238CA">
        <w:rPr>
          <w:rFonts w:ascii="Arial" w:hAnsi="Arial" w:cs="Arial"/>
          <w:sz w:val="20"/>
          <w:szCs w:val="20"/>
        </w:rPr>
        <w:t xml:space="preserve">core </w:t>
      </w:r>
      <w:r w:rsidRPr="003238CA">
        <w:rPr>
          <w:rFonts w:ascii="Arial" w:hAnsi="Arial" w:cs="Arial"/>
          <w:sz w:val="20"/>
          <w:szCs w:val="20"/>
        </w:rPr>
        <w:t>issue</w:t>
      </w:r>
      <w:r w:rsidR="00022CAE" w:rsidRPr="003238CA">
        <w:rPr>
          <w:rFonts w:ascii="Arial" w:hAnsi="Arial" w:cs="Arial"/>
          <w:sz w:val="20"/>
          <w:szCs w:val="20"/>
        </w:rPr>
        <w:t xml:space="preserve"> before the SCA was</w:t>
      </w:r>
      <w:r w:rsidRPr="003238CA">
        <w:rPr>
          <w:rFonts w:ascii="Arial" w:hAnsi="Arial" w:cs="Arial"/>
          <w:sz w:val="20"/>
          <w:szCs w:val="20"/>
        </w:rPr>
        <w:t xml:space="preserve"> </w:t>
      </w:r>
      <w:r w:rsidR="00581C03" w:rsidRPr="00581C03">
        <w:rPr>
          <w:rFonts w:ascii="Arial" w:hAnsi="Arial" w:cs="Arial"/>
          <w:sz w:val="20"/>
          <w:szCs w:val="20"/>
        </w:rPr>
        <w:t xml:space="preserve">whether </w:t>
      </w:r>
      <w:r w:rsidR="00581C03">
        <w:rPr>
          <w:rFonts w:ascii="Arial" w:hAnsi="Arial" w:cs="Arial"/>
          <w:sz w:val="20"/>
          <w:szCs w:val="20"/>
        </w:rPr>
        <w:t xml:space="preserve">the </w:t>
      </w:r>
      <w:r w:rsidR="00581C03" w:rsidRPr="00581C03">
        <w:rPr>
          <w:rFonts w:ascii="Arial" w:hAnsi="Arial" w:cs="Arial"/>
          <w:sz w:val="20"/>
          <w:szCs w:val="20"/>
        </w:rPr>
        <w:t>appellant</w:t>
      </w:r>
      <w:r w:rsidR="00095641">
        <w:rPr>
          <w:rFonts w:ascii="Arial" w:hAnsi="Arial" w:cs="Arial"/>
          <w:sz w:val="20"/>
          <w:szCs w:val="20"/>
        </w:rPr>
        <w:t xml:space="preserve"> should be committed to prison </w:t>
      </w:r>
      <w:r w:rsidR="00755583">
        <w:rPr>
          <w:rFonts w:ascii="Arial" w:hAnsi="Arial" w:cs="Arial"/>
          <w:sz w:val="20"/>
          <w:szCs w:val="20"/>
        </w:rPr>
        <w:t xml:space="preserve">for three months </w:t>
      </w:r>
      <w:r w:rsidR="00095641">
        <w:rPr>
          <w:rFonts w:ascii="Arial" w:hAnsi="Arial" w:cs="Arial"/>
          <w:sz w:val="20"/>
          <w:szCs w:val="20"/>
        </w:rPr>
        <w:t>for contempt of court</w:t>
      </w:r>
      <w:r w:rsidR="00755583">
        <w:rPr>
          <w:rFonts w:ascii="Arial" w:hAnsi="Arial" w:cs="Arial"/>
          <w:sz w:val="20"/>
          <w:szCs w:val="20"/>
        </w:rPr>
        <w:t>,</w:t>
      </w:r>
      <w:r w:rsidR="00095641">
        <w:rPr>
          <w:rFonts w:ascii="Arial" w:hAnsi="Arial" w:cs="Arial"/>
          <w:sz w:val="20"/>
          <w:szCs w:val="20"/>
        </w:rPr>
        <w:t xml:space="preserve"> as a result of failing to </w:t>
      </w:r>
      <w:r w:rsidR="005E75FB">
        <w:rPr>
          <w:rFonts w:ascii="Arial" w:hAnsi="Arial" w:cs="Arial"/>
          <w:sz w:val="20"/>
          <w:szCs w:val="20"/>
        </w:rPr>
        <w:t>make payment in terms of a maint</w:t>
      </w:r>
      <w:r w:rsidR="00B70460">
        <w:rPr>
          <w:rFonts w:ascii="Arial" w:hAnsi="Arial" w:cs="Arial"/>
          <w:sz w:val="20"/>
          <w:szCs w:val="20"/>
        </w:rPr>
        <w:t>enance order. Aligned to this, wa</w:t>
      </w:r>
      <w:r w:rsidR="005E75FB">
        <w:rPr>
          <w:rFonts w:ascii="Arial" w:hAnsi="Arial" w:cs="Arial"/>
          <w:sz w:val="20"/>
          <w:szCs w:val="20"/>
        </w:rPr>
        <w:t>s whether the appellant</w:t>
      </w:r>
      <w:r w:rsidR="00581C03" w:rsidRPr="00581C03">
        <w:rPr>
          <w:rFonts w:ascii="Arial" w:hAnsi="Arial" w:cs="Arial"/>
          <w:sz w:val="20"/>
          <w:szCs w:val="20"/>
        </w:rPr>
        <w:t xml:space="preserve"> was entitled to a postponement to allow him to present his case before the </w:t>
      </w:r>
      <w:r w:rsidR="006F3961">
        <w:rPr>
          <w:rFonts w:ascii="Arial" w:hAnsi="Arial" w:cs="Arial"/>
          <w:sz w:val="20"/>
          <w:szCs w:val="20"/>
        </w:rPr>
        <w:t>high court</w:t>
      </w:r>
      <w:r w:rsidR="00581C03" w:rsidRPr="00581C03">
        <w:rPr>
          <w:rFonts w:ascii="Arial" w:hAnsi="Arial" w:cs="Arial"/>
          <w:sz w:val="20"/>
          <w:szCs w:val="20"/>
        </w:rPr>
        <w:t xml:space="preserve"> made </w:t>
      </w:r>
      <w:r w:rsidR="002D5B24">
        <w:rPr>
          <w:rFonts w:ascii="Arial" w:hAnsi="Arial" w:cs="Arial"/>
          <w:sz w:val="20"/>
          <w:szCs w:val="20"/>
        </w:rPr>
        <w:t>the</w:t>
      </w:r>
      <w:r w:rsidR="00581C03" w:rsidRPr="00581C03">
        <w:rPr>
          <w:rFonts w:ascii="Arial" w:hAnsi="Arial" w:cs="Arial"/>
          <w:sz w:val="20"/>
          <w:szCs w:val="20"/>
        </w:rPr>
        <w:t xml:space="preserve"> order committing him to prison</w:t>
      </w:r>
      <w:r w:rsidR="00BB3AE4" w:rsidRPr="003238CA">
        <w:rPr>
          <w:rFonts w:ascii="Arial" w:hAnsi="Arial" w:cs="Arial"/>
          <w:sz w:val="20"/>
          <w:szCs w:val="20"/>
          <w:lang w:val="en-GB"/>
        </w:rPr>
        <w:t>.</w:t>
      </w:r>
    </w:p>
    <w:p w14:paraId="0B4C0A15" w14:textId="6E733711" w:rsidR="006F3961" w:rsidRDefault="00877AB1" w:rsidP="00A024A8">
      <w:pPr>
        <w:spacing w:line="240" w:lineRule="auto"/>
        <w:jc w:val="both"/>
        <w:rPr>
          <w:rFonts w:ascii="Arial" w:hAnsi="Arial" w:cs="Arial"/>
          <w:sz w:val="20"/>
          <w:szCs w:val="20"/>
          <w:lang w:val="en-GB"/>
        </w:rPr>
      </w:pPr>
      <w:r>
        <w:rPr>
          <w:rFonts w:ascii="Arial" w:hAnsi="Arial" w:cs="Arial"/>
          <w:sz w:val="20"/>
          <w:szCs w:val="20"/>
          <w:lang w:val="en-GB"/>
        </w:rPr>
        <w:t>Pursuant to divorce proceedings, a maintenance order was granted agains</w:t>
      </w:r>
      <w:r w:rsidR="00B67515">
        <w:rPr>
          <w:rFonts w:ascii="Arial" w:hAnsi="Arial" w:cs="Arial"/>
          <w:sz w:val="20"/>
          <w:szCs w:val="20"/>
          <w:lang w:val="en-GB"/>
        </w:rPr>
        <w:t xml:space="preserve">t the appellant, which inter alia, provided that he must make a contribution towards the maintenance of the minor children in the sum of R6000 per </w:t>
      </w:r>
      <w:r w:rsidR="00DD44B9">
        <w:rPr>
          <w:rFonts w:ascii="Arial" w:hAnsi="Arial" w:cs="Arial"/>
          <w:sz w:val="20"/>
          <w:szCs w:val="20"/>
          <w:lang w:val="en-GB"/>
        </w:rPr>
        <w:t xml:space="preserve">month per </w:t>
      </w:r>
      <w:r w:rsidR="00B67515">
        <w:rPr>
          <w:rFonts w:ascii="Arial" w:hAnsi="Arial" w:cs="Arial"/>
          <w:sz w:val="20"/>
          <w:szCs w:val="20"/>
          <w:lang w:val="en-GB"/>
        </w:rPr>
        <w:t>child</w:t>
      </w:r>
      <w:r w:rsidR="00C95297">
        <w:rPr>
          <w:rFonts w:ascii="Arial" w:hAnsi="Arial" w:cs="Arial"/>
          <w:sz w:val="20"/>
          <w:szCs w:val="20"/>
          <w:lang w:val="en-GB"/>
        </w:rPr>
        <w:t xml:space="preserve">; all amounts </w:t>
      </w:r>
      <w:r w:rsidR="00712CC3">
        <w:rPr>
          <w:rFonts w:ascii="Arial" w:hAnsi="Arial" w:cs="Arial"/>
          <w:sz w:val="20"/>
          <w:szCs w:val="20"/>
          <w:lang w:val="en-GB"/>
        </w:rPr>
        <w:t xml:space="preserve">owing to the school that the children attend, including the cost of extra-mural activities and school uniforms. </w:t>
      </w:r>
      <w:r w:rsidR="00C6505C">
        <w:rPr>
          <w:rFonts w:ascii="Arial" w:hAnsi="Arial" w:cs="Arial"/>
          <w:sz w:val="20"/>
          <w:szCs w:val="20"/>
          <w:lang w:val="en-GB"/>
        </w:rPr>
        <w:t xml:space="preserve">The appellant failed to make payments as ordered. </w:t>
      </w:r>
      <w:r w:rsidR="009D6FA2">
        <w:rPr>
          <w:rFonts w:ascii="Arial" w:hAnsi="Arial" w:cs="Arial"/>
          <w:sz w:val="20"/>
          <w:szCs w:val="20"/>
          <w:lang w:val="en-GB"/>
        </w:rPr>
        <w:t>After numerous</w:t>
      </w:r>
      <w:r w:rsidR="0026550D">
        <w:rPr>
          <w:rFonts w:ascii="Arial" w:hAnsi="Arial" w:cs="Arial"/>
          <w:sz w:val="20"/>
          <w:szCs w:val="20"/>
          <w:lang w:val="en-GB"/>
        </w:rPr>
        <w:t xml:space="preserve"> attempts</w:t>
      </w:r>
      <w:r w:rsidR="009D6FA2">
        <w:rPr>
          <w:rFonts w:ascii="Arial" w:hAnsi="Arial" w:cs="Arial"/>
          <w:sz w:val="20"/>
          <w:szCs w:val="20"/>
          <w:lang w:val="en-GB"/>
        </w:rPr>
        <w:t>, over a period of many years, t</w:t>
      </w:r>
      <w:r w:rsidR="0026550D">
        <w:rPr>
          <w:rFonts w:ascii="Arial" w:hAnsi="Arial" w:cs="Arial"/>
          <w:sz w:val="20"/>
          <w:szCs w:val="20"/>
          <w:lang w:val="en-GB"/>
        </w:rPr>
        <w:t>he respondent approach</w:t>
      </w:r>
      <w:r w:rsidR="009D6FA2">
        <w:rPr>
          <w:rFonts w:ascii="Arial" w:hAnsi="Arial" w:cs="Arial"/>
          <w:sz w:val="20"/>
          <w:szCs w:val="20"/>
          <w:lang w:val="en-GB"/>
        </w:rPr>
        <w:t>ed</w:t>
      </w:r>
      <w:r w:rsidR="0026550D">
        <w:rPr>
          <w:rFonts w:ascii="Arial" w:hAnsi="Arial" w:cs="Arial"/>
          <w:sz w:val="20"/>
          <w:szCs w:val="20"/>
          <w:lang w:val="en-GB"/>
        </w:rPr>
        <w:t xml:space="preserve"> the high court</w:t>
      </w:r>
      <w:r w:rsidR="00BE4C15">
        <w:rPr>
          <w:rFonts w:ascii="Arial" w:hAnsi="Arial" w:cs="Arial"/>
          <w:sz w:val="20"/>
          <w:szCs w:val="20"/>
          <w:lang w:val="en-GB"/>
        </w:rPr>
        <w:t xml:space="preserve"> and </w:t>
      </w:r>
      <w:r w:rsidR="00F645F8">
        <w:rPr>
          <w:rFonts w:ascii="Arial" w:hAnsi="Arial" w:cs="Arial"/>
          <w:sz w:val="20"/>
          <w:szCs w:val="20"/>
          <w:lang w:val="en-GB"/>
        </w:rPr>
        <w:t>launched</w:t>
      </w:r>
      <w:r w:rsidR="00BE4C15">
        <w:rPr>
          <w:rFonts w:ascii="Arial" w:hAnsi="Arial" w:cs="Arial"/>
          <w:sz w:val="20"/>
          <w:szCs w:val="20"/>
          <w:lang w:val="en-GB"/>
        </w:rPr>
        <w:t xml:space="preserve"> an urgent application,</w:t>
      </w:r>
      <w:r w:rsidR="0026550D">
        <w:rPr>
          <w:rFonts w:ascii="Arial" w:hAnsi="Arial" w:cs="Arial"/>
          <w:sz w:val="20"/>
          <w:szCs w:val="20"/>
          <w:lang w:val="en-GB"/>
        </w:rPr>
        <w:t xml:space="preserve"> to enforce compliance with the maintenance order. </w:t>
      </w:r>
      <w:r w:rsidR="00EB37FB">
        <w:rPr>
          <w:rFonts w:ascii="Arial" w:hAnsi="Arial" w:cs="Arial"/>
          <w:sz w:val="20"/>
          <w:szCs w:val="20"/>
          <w:lang w:val="en-GB"/>
        </w:rPr>
        <w:t xml:space="preserve">The urgent application was successful and resulted in the respondent being ordered to comply with the maintenance </w:t>
      </w:r>
      <w:r w:rsidR="00952926">
        <w:rPr>
          <w:rFonts w:ascii="Arial" w:hAnsi="Arial" w:cs="Arial"/>
          <w:sz w:val="20"/>
          <w:szCs w:val="20"/>
          <w:lang w:val="en-GB"/>
        </w:rPr>
        <w:t xml:space="preserve">order and that </w:t>
      </w:r>
      <w:r w:rsidR="00AE2295">
        <w:rPr>
          <w:rFonts w:ascii="Arial" w:hAnsi="Arial" w:cs="Arial"/>
          <w:sz w:val="20"/>
          <w:szCs w:val="20"/>
          <w:lang w:val="en-GB"/>
        </w:rPr>
        <w:t>the arrear maintenance must</w:t>
      </w:r>
      <w:r w:rsidR="00952926" w:rsidRPr="00952926">
        <w:rPr>
          <w:rFonts w:ascii="Arial" w:hAnsi="Arial" w:cs="Arial"/>
          <w:sz w:val="20"/>
          <w:szCs w:val="20"/>
          <w:lang w:val="en-GB"/>
        </w:rPr>
        <w:t xml:space="preserve"> be paid to the respondent by no later than 17h00 on Friday 18 December 2020. </w:t>
      </w:r>
      <w:r w:rsidR="00AE2295">
        <w:rPr>
          <w:rFonts w:ascii="Arial" w:hAnsi="Arial" w:cs="Arial"/>
          <w:sz w:val="20"/>
          <w:szCs w:val="20"/>
          <w:lang w:val="en-GB"/>
        </w:rPr>
        <w:t>Failing which</w:t>
      </w:r>
      <w:r w:rsidR="00952926" w:rsidRPr="00952926">
        <w:rPr>
          <w:rFonts w:ascii="Arial" w:hAnsi="Arial" w:cs="Arial"/>
          <w:sz w:val="20"/>
          <w:szCs w:val="20"/>
          <w:lang w:val="en-GB"/>
        </w:rPr>
        <w:t xml:space="preserve">, the respondent </w:t>
      </w:r>
      <w:r w:rsidR="009D6FA2">
        <w:rPr>
          <w:rFonts w:ascii="Arial" w:hAnsi="Arial" w:cs="Arial"/>
          <w:sz w:val="20"/>
          <w:szCs w:val="20"/>
          <w:lang w:val="en-GB"/>
        </w:rPr>
        <w:t>could</w:t>
      </w:r>
      <w:r w:rsidR="00952926" w:rsidRPr="00952926">
        <w:rPr>
          <w:rFonts w:ascii="Arial" w:hAnsi="Arial" w:cs="Arial"/>
          <w:sz w:val="20"/>
          <w:szCs w:val="20"/>
          <w:lang w:val="en-GB"/>
        </w:rPr>
        <w:t xml:space="preserve"> set the matter down on 48 hours’ notice for an order that the appellant be declared in contempt of court, a warrant be issued for his arrest and he be committed to </w:t>
      </w:r>
      <w:r w:rsidR="00430966">
        <w:rPr>
          <w:rFonts w:ascii="Arial" w:hAnsi="Arial" w:cs="Arial"/>
          <w:sz w:val="20"/>
          <w:szCs w:val="20"/>
          <w:lang w:val="en-GB"/>
        </w:rPr>
        <w:t xml:space="preserve">prison </w:t>
      </w:r>
      <w:r w:rsidR="00952926" w:rsidRPr="00952926">
        <w:rPr>
          <w:rFonts w:ascii="Arial" w:hAnsi="Arial" w:cs="Arial"/>
          <w:sz w:val="20"/>
          <w:szCs w:val="20"/>
          <w:lang w:val="en-GB"/>
        </w:rPr>
        <w:t>for a period to be determined by the court.</w:t>
      </w:r>
      <w:r w:rsidR="008B18C4">
        <w:rPr>
          <w:rFonts w:ascii="Arial" w:hAnsi="Arial" w:cs="Arial"/>
          <w:sz w:val="20"/>
          <w:szCs w:val="20"/>
          <w:lang w:val="en-GB"/>
        </w:rPr>
        <w:t xml:space="preserve"> </w:t>
      </w:r>
      <w:r w:rsidR="00D26AA0">
        <w:rPr>
          <w:rFonts w:ascii="Arial" w:hAnsi="Arial" w:cs="Arial"/>
          <w:sz w:val="20"/>
          <w:szCs w:val="20"/>
          <w:lang w:val="en-GB"/>
        </w:rPr>
        <w:t>The appellant failed to compl</w:t>
      </w:r>
      <w:r w:rsidR="009D6FA2">
        <w:rPr>
          <w:rFonts w:ascii="Arial" w:hAnsi="Arial" w:cs="Arial"/>
          <w:sz w:val="20"/>
          <w:szCs w:val="20"/>
          <w:lang w:val="en-GB"/>
        </w:rPr>
        <w:t xml:space="preserve">y with this order and </w:t>
      </w:r>
      <w:r w:rsidR="00D26AA0">
        <w:rPr>
          <w:rFonts w:ascii="Arial" w:hAnsi="Arial" w:cs="Arial"/>
          <w:sz w:val="20"/>
          <w:szCs w:val="20"/>
          <w:lang w:val="en-GB"/>
        </w:rPr>
        <w:t xml:space="preserve">the respondent </w:t>
      </w:r>
      <w:r w:rsidR="009D6FA2">
        <w:rPr>
          <w:rFonts w:ascii="Arial" w:hAnsi="Arial" w:cs="Arial"/>
          <w:sz w:val="20"/>
          <w:szCs w:val="20"/>
          <w:lang w:val="en-GB"/>
        </w:rPr>
        <w:t>accordingly launched the said application.</w:t>
      </w:r>
      <w:r w:rsidR="00CB3C5C">
        <w:rPr>
          <w:rFonts w:ascii="Arial" w:hAnsi="Arial" w:cs="Arial"/>
          <w:sz w:val="20"/>
          <w:szCs w:val="20"/>
          <w:lang w:val="en-GB"/>
        </w:rPr>
        <w:t xml:space="preserve"> </w:t>
      </w:r>
    </w:p>
    <w:p w14:paraId="65BEEAA8" w14:textId="4B746C23" w:rsidR="00CB3C5C" w:rsidRDefault="00EA11FB" w:rsidP="00A024A8">
      <w:pPr>
        <w:spacing w:line="240" w:lineRule="auto"/>
        <w:jc w:val="both"/>
        <w:rPr>
          <w:rFonts w:ascii="Arial" w:hAnsi="Arial" w:cs="Arial"/>
          <w:sz w:val="20"/>
          <w:szCs w:val="20"/>
          <w:lang w:val="en-GB"/>
        </w:rPr>
      </w:pPr>
      <w:r>
        <w:rPr>
          <w:rFonts w:ascii="Arial" w:hAnsi="Arial" w:cs="Arial"/>
          <w:sz w:val="20"/>
          <w:szCs w:val="20"/>
          <w:lang w:val="en-GB"/>
        </w:rPr>
        <w:t>The high court was satisfied that the respondent had made out a case for the relief that she sought</w:t>
      </w:r>
      <w:r w:rsidR="00411FE4">
        <w:rPr>
          <w:rFonts w:ascii="Arial" w:hAnsi="Arial" w:cs="Arial"/>
          <w:sz w:val="20"/>
          <w:szCs w:val="20"/>
          <w:lang w:val="en-GB"/>
        </w:rPr>
        <w:t xml:space="preserve">. As a result, the </w:t>
      </w:r>
      <w:r w:rsidR="00D7652A">
        <w:rPr>
          <w:rFonts w:ascii="Arial" w:hAnsi="Arial" w:cs="Arial"/>
          <w:sz w:val="20"/>
          <w:szCs w:val="20"/>
          <w:lang w:val="en-GB"/>
        </w:rPr>
        <w:t xml:space="preserve">high court declared the </w:t>
      </w:r>
      <w:r w:rsidR="00411FE4">
        <w:rPr>
          <w:rFonts w:ascii="Arial" w:hAnsi="Arial" w:cs="Arial"/>
          <w:sz w:val="20"/>
          <w:szCs w:val="20"/>
          <w:lang w:val="en-GB"/>
        </w:rPr>
        <w:t xml:space="preserve">appellant </w:t>
      </w:r>
      <w:r w:rsidR="000B2410">
        <w:rPr>
          <w:rFonts w:ascii="Arial" w:hAnsi="Arial" w:cs="Arial"/>
          <w:sz w:val="20"/>
          <w:szCs w:val="20"/>
          <w:lang w:val="en-GB"/>
        </w:rPr>
        <w:t xml:space="preserve">to be in contempt of the maintenance order </w:t>
      </w:r>
      <w:r>
        <w:rPr>
          <w:rFonts w:ascii="Arial" w:hAnsi="Arial" w:cs="Arial"/>
          <w:sz w:val="20"/>
          <w:szCs w:val="20"/>
          <w:lang w:val="en-GB"/>
        </w:rPr>
        <w:t xml:space="preserve">and ordered that </w:t>
      </w:r>
      <w:r w:rsidR="00D7652A">
        <w:rPr>
          <w:rFonts w:ascii="Arial" w:hAnsi="Arial" w:cs="Arial"/>
          <w:sz w:val="20"/>
          <w:szCs w:val="20"/>
          <w:lang w:val="en-GB"/>
        </w:rPr>
        <w:t xml:space="preserve">he be committed to prison for a period of three months. </w:t>
      </w:r>
      <w:r w:rsidR="00453917">
        <w:rPr>
          <w:rFonts w:ascii="Arial" w:hAnsi="Arial" w:cs="Arial"/>
          <w:sz w:val="20"/>
          <w:szCs w:val="20"/>
          <w:lang w:val="en-GB"/>
        </w:rPr>
        <w:t xml:space="preserve">The </w:t>
      </w:r>
      <w:r w:rsidR="0087139B">
        <w:rPr>
          <w:rFonts w:ascii="Arial" w:hAnsi="Arial" w:cs="Arial"/>
          <w:sz w:val="20"/>
          <w:szCs w:val="20"/>
          <w:lang w:val="en-GB"/>
        </w:rPr>
        <w:t>appella</w:t>
      </w:r>
      <w:r w:rsidR="00453917">
        <w:rPr>
          <w:rFonts w:ascii="Arial" w:hAnsi="Arial" w:cs="Arial"/>
          <w:sz w:val="20"/>
          <w:szCs w:val="20"/>
          <w:lang w:val="en-GB"/>
        </w:rPr>
        <w:t>nt’s application for a postponement, made on the day that the application for committal was heard, was dismissed.</w:t>
      </w:r>
      <w:r w:rsidR="00427944">
        <w:rPr>
          <w:rFonts w:ascii="Arial" w:hAnsi="Arial" w:cs="Arial"/>
          <w:sz w:val="20"/>
          <w:szCs w:val="20"/>
          <w:lang w:val="en-GB"/>
        </w:rPr>
        <w:t xml:space="preserve"> </w:t>
      </w:r>
      <w:r w:rsidR="00BB48A7">
        <w:rPr>
          <w:rFonts w:ascii="Arial" w:hAnsi="Arial" w:cs="Arial"/>
          <w:sz w:val="20"/>
          <w:szCs w:val="20"/>
          <w:lang w:val="en-GB"/>
        </w:rPr>
        <w:t>T</w:t>
      </w:r>
      <w:r w:rsidR="0087139B">
        <w:rPr>
          <w:rFonts w:ascii="Arial" w:hAnsi="Arial" w:cs="Arial"/>
          <w:sz w:val="20"/>
          <w:szCs w:val="20"/>
          <w:lang w:val="en-GB"/>
        </w:rPr>
        <w:t>he appellant</w:t>
      </w:r>
      <w:r w:rsidR="00BB48A7">
        <w:rPr>
          <w:rFonts w:ascii="Arial" w:hAnsi="Arial" w:cs="Arial"/>
          <w:sz w:val="20"/>
          <w:szCs w:val="20"/>
          <w:lang w:val="en-GB"/>
        </w:rPr>
        <w:t xml:space="preserve"> </w:t>
      </w:r>
      <w:r w:rsidR="00102878">
        <w:rPr>
          <w:rFonts w:ascii="Arial" w:hAnsi="Arial" w:cs="Arial"/>
          <w:sz w:val="20"/>
          <w:szCs w:val="20"/>
          <w:lang w:val="en-GB"/>
        </w:rPr>
        <w:t>app</w:t>
      </w:r>
      <w:r w:rsidR="007B2D9C">
        <w:rPr>
          <w:rFonts w:ascii="Arial" w:hAnsi="Arial" w:cs="Arial"/>
          <w:sz w:val="20"/>
          <w:szCs w:val="20"/>
          <w:lang w:val="en-GB"/>
        </w:rPr>
        <w:t>lied for leave to appeal</w:t>
      </w:r>
      <w:r w:rsidR="00102878">
        <w:rPr>
          <w:rFonts w:ascii="Arial" w:hAnsi="Arial" w:cs="Arial"/>
          <w:sz w:val="20"/>
          <w:szCs w:val="20"/>
          <w:lang w:val="en-GB"/>
        </w:rPr>
        <w:t xml:space="preserve"> this decision. His grounds of appeal were that </w:t>
      </w:r>
      <w:r w:rsidR="0005338D">
        <w:rPr>
          <w:rFonts w:ascii="Arial" w:hAnsi="Arial" w:cs="Arial"/>
          <w:sz w:val="20"/>
          <w:szCs w:val="20"/>
          <w:lang w:val="en-GB"/>
        </w:rPr>
        <w:t xml:space="preserve">the amount of arrear maintenance claimed by the respondent </w:t>
      </w:r>
      <w:r w:rsidR="003B5B8B">
        <w:rPr>
          <w:rFonts w:ascii="Arial" w:hAnsi="Arial" w:cs="Arial"/>
          <w:sz w:val="20"/>
          <w:szCs w:val="20"/>
          <w:lang w:val="en-GB"/>
        </w:rPr>
        <w:t xml:space="preserve">was incorrect and that the COVID-19 pandemic had significantly </w:t>
      </w:r>
      <w:r w:rsidR="00175227">
        <w:rPr>
          <w:rFonts w:ascii="Arial" w:hAnsi="Arial" w:cs="Arial"/>
          <w:sz w:val="20"/>
          <w:szCs w:val="20"/>
          <w:lang w:val="en-GB"/>
        </w:rPr>
        <w:t xml:space="preserve">diminished his financial situation. </w:t>
      </w:r>
      <w:r w:rsidR="007B2D9C">
        <w:rPr>
          <w:rFonts w:ascii="Arial" w:hAnsi="Arial" w:cs="Arial"/>
          <w:sz w:val="20"/>
          <w:szCs w:val="20"/>
          <w:lang w:val="en-GB"/>
        </w:rPr>
        <w:t xml:space="preserve">Leave to appeal was dismissed by the </w:t>
      </w:r>
      <w:r w:rsidR="00175227">
        <w:rPr>
          <w:rFonts w:ascii="Arial" w:hAnsi="Arial" w:cs="Arial"/>
          <w:sz w:val="20"/>
          <w:szCs w:val="20"/>
          <w:lang w:val="en-GB"/>
        </w:rPr>
        <w:t xml:space="preserve">high court </w:t>
      </w:r>
      <w:r w:rsidR="007B2D9C">
        <w:rPr>
          <w:rFonts w:ascii="Arial" w:hAnsi="Arial" w:cs="Arial"/>
          <w:sz w:val="20"/>
          <w:szCs w:val="20"/>
          <w:lang w:val="en-GB"/>
        </w:rPr>
        <w:t>but granted by the SCA.</w:t>
      </w:r>
    </w:p>
    <w:p w14:paraId="1EE942AE" w14:textId="7325521D" w:rsidR="00A024A8" w:rsidRPr="003238CA" w:rsidRDefault="009970A0" w:rsidP="001E1293">
      <w:pPr>
        <w:spacing w:line="240" w:lineRule="auto"/>
        <w:jc w:val="both"/>
        <w:rPr>
          <w:rFonts w:ascii="Arial" w:hAnsi="Arial" w:cs="Arial"/>
          <w:sz w:val="20"/>
          <w:szCs w:val="20"/>
          <w:lang w:val="en-GB"/>
        </w:rPr>
      </w:pPr>
      <w:r>
        <w:rPr>
          <w:rFonts w:ascii="Arial" w:hAnsi="Arial" w:cs="Arial"/>
          <w:sz w:val="20"/>
          <w:szCs w:val="20"/>
          <w:lang w:val="en-GB"/>
        </w:rPr>
        <w:t xml:space="preserve">The SCA </w:t>
      </w:r>
      <w:r w:rsidR="00CA185E">
        <w:rPr>
          <w:rFonts w:ascii="Arial" w:hAnsi="Arial" w:cs="Arial"/>
          <w:sz w:val="20"/>
          <w:szCs w:val="20"/>
          <w:lang w:val="en-GB"/>
        </w:rPr>
        <w:t>held that w</w:t>
      </w:r>
      <w:r w:rsidR="00432395" w:rsidRPr="00432395">
        <w:rPr>
          <w:rFonts w:ascii="Arial" w:hAnsi="Arial" w:cs="Arial"/>
          <w:sz w:val="20"/>
          <w:szCs w:val="20"/>
          <w:lang w:val="en-GB"/>
        </w:rPr>
        <w:t>here a committal is ordered, the standard of proof in civil contempt matters has to be the criminal standard</w:t>
      </w:r>
      <w:r w:rsidR="009D6FA2">
        <w:rPr>
          <w:rFonts w:ascii="Arial" w:hAnsi="Arial" w:cs="Arial"/>
          <w:sz w:val="20"/>
          <w:szCs w:val="20"/>
          <w:lang w:val="en-GB"/>
        </w:rPr>
        <w:t>,</w:t>
      </w:r>
      <w:r w:rsidR="00901352">
        <w:rPr>
          <w:rFonts w:ascii="Arial" w:hAnsi="Arial" w:cs="Arial"/>
          <w:sz w:val="20"/>
          <w:szCs w:val="20"/>
          <w:lang w:val="en-GB"/>
        </w:rPr>
        <w:t xml:space="preserve"> </w:t>
      </w:r>
      <w:r w:rsidR="009D6FA2">
        <w:rPr>
          <w:rFonts w:ascii="Arial" w:hAnsi="Arial" w:cs="Arial"/>
          <w:sz w:val="20"/>
          <w:szCs w:val="20"/>
          <w:lang w:val="en-GB"/>
        </w:rPr>
        <w:t>ie</w:t>
      </w:r>
      <w:r w:rsidR="009D65E4" w:rsidRPr="009D65E4">
        <w:rPr>
          <w:rFonts w:ascii="Arial" w:hAnsi="Arial" w:cs="Arial"/>
          <w:sz w:val="20"/>
          <w:szCs w:val="20"/>
          <w:lang w:val="en-GB"/>
        </w:rPr>
        <w:t xml:space="preserve"> wilfulness and </w:t>
      </w:r>
      <w:r w:rsidR="009D65E4" w:rsidRPr="009D65E4">
        <w:rPr>
          <w:rFonts w:ascii="Arial" w:hAnsi="Arial" w:cs="Arial"/>
          <w:i/>
          <w:sz w:val="20"/>
          <w:szCs w:val="20"/>
          <w:lang w:val="en-GB"/>
        </w:rPr>
        <w:t>male fides</w:t>
      </w:r>
      <w:r w:rsidR="009D65E4" w:rsidRPr="009D65E4">
        <w:rPr>
          <w:rFonts w:ascii="Arial" w:hAnsi="Arial" w:cs="Arial"/>
          <w:sz w:val="20"/>
          <w:szCs w:val="20"/>
          <w:lang w:val="en-GB"/>
        </w:rPr>
        <w:t xml:space="preserve"> have to be shown beyond reasonable doubt</w:t>
      </w:r>
      <w:r w:rsidR="00377C3E">
        <w:rPr>
          <w:rFonts w:ascii="Arial" w:hAnsi="Arial" w:cs="Arial"/>
          <w:sz w:val="20"/>
          <w:szCs w:val="20"/>
          <w:lang w:val="en-GB"/>
        </w:rPr>
        <w:t>.</w:t>
      </w:r>
      <w:r w:rsidR="00A20B6D">
        <w:rPr>
          <w:rFonts w:ascii="Arial" w:hAnsi="Arial" w:cs="Arial"/>
          <w:sz w:val="20"/>
          <w:szCs w:val="20"/>
          <w:lang w:val="en-GB"/>
        </w:rPr>
        <w:t xml:space="preserve"> </w:t>
      </w:r>
      <w:r w:rsidR="00C40E42" w:rsidRPr="00C40E42">
        <w:rPr>
          <w:rFonts w:ascii="Arial" w:hAnsi="Arial" w:cs="Arial"/>
          <w:sz w:val="20"/>
          <w:szCs w:val="20"/>
          <w:lang w:val="en-GB"/>
        </w:rPr>
        <w:t>The hybrid nature of contempt proceedings which result</w:t>
      </w:r>
      <w:r w:rsidR="009D6FA2">
        <w:rPr>
          <w:rFonts w:ascii="Arial" w:hAnsi="Arial" w:cs="Arial"/>
          <w:sz w:val="20"/>
          <w:szCs w:val="20"/>
          <w:lang w:val="en-GB"/>
        </w:rPr>
        <w:t>s</w:t>
      </w:r>
      <w:r w:rsidR="00C40E42" w:rsidRPr="00C40E42">
        <w:rPr>
          <w:rFonts w:ascii="Arial" w:hAnsi="Arial" w:cs="Arial"/>
          <w:sz w:val="20"/>
          <w:szCs w:val="20"/>
          <w:lang w:val="en-GB"/>
        </w:rPr>
        <w:t xml:space="preserve"> in committal, combine civil and criminal elements. But this does not mean that contemnors are not afforded the substantive and procedural protections which apply to any individual facing the loss of his freedom.</w:t>
      </w:r>
      <w:r w:rsidR="00373217">
        <w:rPr>
          <w:rFonts w:ascii="Arial" w:hAnsi="Arial" w:cs="Arial"/>
          <w:sz w:val="20"/>
          <w:szCs w:val="20"/>
          <w:lang w:val="en-GB"/>
        </w:rPr>
        <w:t xml:space="preserve"> </w:t>
      </w:r>
      <w:r w:rsidR="00373217" w:rsidRPr="00373217">
        <w:rPr>
          <w:rFonts w:ascii="Arial" w:hAnsi="Arial" w:cs="Arial"/>
          <w:sz w:val="20"/>
          <w:szCs w:val="20"/>
          <w:lang w:val="en-GB"/>
        </w:rPr>
        <w:t xml:space="preserve">The SCA found that the high court did not </w:t>
      </w:r>
      <w:r w:rsidR="00373217" w:rsidRPr="00373217">
        <w:rPr>
          <w:rFonts w:ascii="Arial" w:hAnsi="Arial" w:cs="Arial"/>
          <w:sz w:val="20"/>
          <w:szCs w:val="20"/>
          <w:lang w:val="en-GB"/>
        </w:rPr>
        <w:lastRenderedPageBreak/>
        <w:t xml:space="preserve">determine that the appellant’s conduct was </w:t>
      </w:r>
      <w:r w:rsidR="00373217" w:rsidRPr="00373217">
        <w:rPr>
          <w:rFonts w:ascii="Arial" w:hAnsi="Arial" w:cs="Arial"/>
          <w:i/>
          <w:sz w:val="20"/>
          <w:szCs w:val="20"/>
          <w:lang w:val="en-GB"/>
        </w:rPr>
        <w:t>mala fide</w:t>
      </w:r>
      <w:r w:rsidR="00373217" w:rsidRPr="00373217">
        <w:rPr>
          <w:rFonts w:ascii="Arial" w:hAnsi="Arial" w:cs="Arial"/>
          <w:sz w:val="20"/>
          <w:szCs w:val="20"/>
          <w:lang w:val="en-GB"/>
        </w:rPr>
        <w:t xml:space="preserve"> and w</w:t>
      </w:r>
      <w:r w:rsidR="003E1840">
        <w:rPr>
          <w:rFonts w:ascii="Arial" w:hAnsi="Arial" w:cs="Arial"/>
          <w:sz w:val="20"/>
          <w:szCs w:val="20"/>
          <w:lang w:val="en-GB"/>
        </w:rPr>
        <w:t>ilful</w:t>
      </w:r>
      <w:r w:rsidR="00373217" w:rsidRPr="00373217">
        <w:rPr>
          <w:rFonts w:ascii="Arial" w:hAnsi="Arial" w:cs="Arial"/>
          <w:sz w:val="20"/>
          <w:szCs w:val="20"/>
          <w:lang w:val="en-GB"/>
        </w:rPr>
        <w:t xml:space="preserve"> beyond a reasonable doubt. </w:t>
      </w:r>
      <w:r w:rsidR="008502AC">
        <w:rPr>
          <w:rFonts w:ascii="Arial" w:hAnsi="Arial" w:cs="Arial"/>
          <w:sz w:val="20"/>
          <w:szCs w:val="20"/>
          <w:lang w:val="en-GB"/>
        </w:rPr>
        <w:t xml:space="preserve">As a result, the SCA upheld the appellant’s appeal and made an order that </w:t>
      </w:r>
      <w:r w:rsidR="00173DDB">
        <w:rPr>
          <w:rFonts w:ascii="Arial" w:hAnsi="Arial" w:cs="Arial"/>
          <w:sz w:val="20"/>
          <w:szCs w:val="20"/>
          <w:lang w:val="en-GB"/>
        </w:rPr>
        <w:t>the appellant’s application for postponement in the high court succeeds. No order was</w:t>
      </w:r>
      <w:r w:rsidR="008502AC">
        <w:rPr>
          <w:rFonts w:ascii="Arial" w:hAnsi="Arial" w:cs="Arial"/>
          <w:sz w:val="20"/>
          <w:szCs w:val="20"/>
          <w:lang w:val="en-GB"/>
        </w:rPr>
        <w:t xml:space="preserve"> made </w:t>
      </w:r>
      <w:r w:rsidR="00B70460">
        <w:rPr>
          <w:rFonts w:ascii="Arial" w:hAnsi="Arial" w:cs="Arial"/>
          <w:sz w:val="20"/>
          <w:szCs w:val="20"/>
          <w:lang w:val="en-GB"/>
        </w:rPr>
        <w:t>as to costs.</w:t>
      </w:r>
    </w:p>
    <w:p w14:paraId="6C06A024" w14:textId="79CC1506" w:rsidR="00CB58AA" w:rsidRPr="003238CA" w:rsidRDefault="00CB58AA" w:rsidP="00CB58AA">
      <w:pPr>
        <w:spacing w:line="240" w:lineRule="auto"/>
        <w:jc w:val="center"/>
        <w:rPr>
          <w:rFonts w:ascii="Arial" w:hAnsi="Arial" w:cs="Arial"/>
          <w:sz w:val="20"/>
          <w:szCs w:val="20"/>
        </w:rPr>
      </w:pPr>
    </w:p>
    <w:p w14:paraId="713F539C" w14:textId="7A20765C" w:rsidR="009F51F0" w:rsidRPr="003238CA" w:rsidRDefault="009F51F0" w:rsidP="00ED485E">
      <w:pPr>
        <w:spacing w:line="240" w:lineRule="auto"/>
        <w:jc w:val="center"/>
        <w:rPr>
          <w:rFonts w:ascii="Arial" w:eastAsia="Times New Roman" w:hAnsi="Arial" w:cs="Arial"/>
          <w:sz w:val="20"/>
          <w:szCs w:val="20"/>
          <w:lang w:val="en-US" w:eastAsia="en-ZA"/>
        </w:rPr>
      </w:pPr>
      <w:r w:rsidRPr="003238CA">
        <w:rPr>
          <w:rFonts w:ascii="Arial" w:eastAsia="Times New Roman" w:hAnsi="Arial" w:cs="Arial"/>
          <w:sz w:val="20"/>
          <w:szCs w:val="20"/>
          <w:lang w:val="en-US" w:eastAsia="en-ZA"/>
        </w:rPr>
        <w:t>~~~~ends~~~~</w:t>
      </w:r>
    </w:p>
    <w:sectPr w:rsidR="009F51F0" w:rsidRPr="003238CA" w:rsidSect="003F5E1B">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169BA" w14:textId="77777777" w:rsidR="00A805AA" w:rsidRDefault="00A805AA">
      <w:pPr>
        <w:spacing w:after="0" w:line="240" w:lineRule="auto"/>
      </w:pPr>
      <w:r>
        <w:separator/>
      </w:r>
    </w:p>
  </w:endnote>
  <w:endnote w:type="continuationSeparator" w:id="0">
    <w:p w14:paraId="47763C18" w14:textId="77777777" w:rsidR="00A805AA" w:rsidRDefault="00A8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396F" w14:textId="77777777" w:rsidR="00A805AA" w:rsidRDefault="00A805AA">
      <w:pPr>
        <w:spacing w:after="0" w:line="240" w:lineRule="auto"/>
      </w:pPr>
      <w:r>
        <w:separator/>
      </w:r>
    </w:p>
  </w:footnote>
  <w:footnote w:type="continuationSeparator" w:id="0">
    <w:p w14:paraId="0C21169C" w14:textId="77777777" w:rsidR="00A805AA" w:rsidRDefault="00A8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176050"/>
      <w:docPartObj>
        <w:docPartGallery w:val="Page Numbers (Top of Page)"/>
        <w:docPartUnique/>
      </w:docPartObj>
    </w:sdtPr>
    <w:sdtEndPr>
      <w:rPr>
        <w:noProof/>
      </w:rPr>
    </w:sdtEndPr>
    <w:sdtContent>
      <w:p w14:paraId="4C490BD4" w14:textId="453430D3" w:rsidR="003F5E1B" w:rsidRDefault="00CB1123">
        <w:pPr>
          <w:pStyle w:val="Header"/>
          <w:jc w:val="center"/>
        </w:pPr>
        <w:r>
          <w:fldChar w:fldCharType="begin"/>
        </w:r>
        <w:r>
          <w:instrText xml:space="preserve"> PAGE   \* MERGEFORMAT </w:instrText>
        </w:r>
        <w:r>
          <w:fldChar w:fldCharType="separate"/>
        </w:r>
        <w:r w:rsidR="00536C80">
          <w:rPr>
            <w:noProof/>
          </w:rPr>
          <w:t>2</w:t>
        </w:r>
        <w:r>
          <w:rPr>
            <w:noProof/>
          </w:rPr>
          <w:fldChar w:fldCharType="end"/>
        </w:r>
      </w:p>
    </w:sdtContent>
  </w:sdt>
  <w:p w14:paraId="2957B336" w14:textId="77777777" w:rsidR="003F5E1B" w:rsidRDefault="00A80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C2"/>
    <w:rsid w:val="00022CAE"/>
    <w:rsid w:val="000256C3"/>
    <w:rsid w:val="00037B31"/>
    <w:rsid w:val="000432BA"/>
    <w:rsid w:val="0005338D"/>
    <w:rsid w:val="00053517"/>
    <w:rsid w:val="00065B78"/>
    <w:rsid w:val="00067DDF"/>
    <w:rsid w:val="00076ABC"/>
    <w:rsid w:val="00081889"/>
    <w:rsid w:val="00095641"/>
    <w:rsid w:val="00096C83"/>
    <w:rsid w:val="00097DD4"/>
    <w:rsid w:val="000A7CDE"/>
    <w:rsid w:val="000B2410"/>
    <w:rsid w:val="000C3053"/>
    <w:rsid w:val="000F7AB3"/>
    <w:rsid w:val="00101570"/>
    <w:rsid w:val="00102878"/>
    <w:rsid w:val="00107C19"/>
    <w:rsid w:val="00116E21"/>
    <w:rsid w:val="00121192"/>
    <w:rsid w:val="00140707"/>
    <w:rsid w:val="00142CE9"/>
    <w:rsid w:val="00173DDB"/>
    <w:rsid w:val="00175227"/>
    <w:rsid w:val="00193AA7"/>
    <w:rsid w:val="001A19DE"/>
    <w:rsid w:val="001C1593"/>
    <w:rsid w:val="001E1293"/>
    <w:rsid w:val="001F3ED9"/>
    <w:rsid w:val="002225C7"/>
    <w:rsid w:val="002344E4"/>
    <w:rsid w:val="002515A3"/>
    <w:rsid w:val="0026550D"/>
    <w:rsid w:val="002734F4"/>
    <w:rsid w:val="00275978"/>
    <w:rsid w:val="002857C9"/>
    <w:rsid w:val="002977FF"/>
    <w:rsid w:val="002A4D0C"/>
    <w:rsid w:val="002C49CA"/>
    <w:rsid w:val="002D5B24"/>
    <w:rsid w:val="002E10EC"/>
    <w:rsid w:val="002F2DE3"/>
    <w:rsid w:val="003014C5"/>
    <w:rsid w:val="00304C36"/>
    <w:rsid w:val="00320C23"/>
    <w:rsid w:val="003229D0"/>
    <w:rsid w:val="003238CA"/>
    <w:rsid w:val="003274E3"/>
    <w:rsid w:val="00332579"/>
    <w:rsid w:val="00341F19"/>
    <w:rsid w:val="00367FB9"/>
    <w:rsid w:val="00373217"/>
    <w:rsid w:val="0037638D"/>
    <w:rsid w:val="00377C3E"/>
    <w:rsid w:val="003920D6"/>
    <w:rsid w:val="003947C5"/>
    <w:rsid w:val="003A727F"/>
    <w:rsid w:val="003B2A50"/>
    <w:rsid w:val="003B5B8B"/>
    <w:rsid w:val="003E1840"/>
    <w:rsid w:val="003E7294"/>
    <w:rsid w:val="003F73DA"/>
    <w:rsid w:val="00403B5E"/>
    <w:rsid w:val="00411FE4"/>
    <w:rsid w:val="00427159"/>
    <w:rsid w:val="00427944"/>
    <w:rsid w:val="00430966"/>
    <w:rsid w:val="00432395"/>
    <w:rsid w:val="00432787"/>
    <w:rsid w:val="004338D2"/>
    <w:rsid w:val="00435D60"/>
    <w:rsid w:val="00453917"/>
    <w:rsid w:val="004543E9"/>
    <w:rsid w:val="00471362"/>
    <w:rsid w:val="0047140E"/>
    <w:rsid w:val="004C1398"/>
    <w:rsid w:val="004C19DC"/>
    <w:rsid w:val="004D2C1B"/>
    <w:rsid w:val="004F03E5"/>
    <w:rsid w:val="00512A3F"/>
    <w:rsid w:val="005201D4"/>
    <w:rsid w:val="00520BB9"/>
    <w:rsid w:val="00522CD4"/>
    <w:rsid w:val="0052585D"/>
    <w:rsid w:val="00536C80"/>
    <w:rsid w:val="00571FB7"/>
    <w:rsid w:val="0057242F"/>
    <w:rsid w:val="00572EA9"/>
    <w:rsid w:val="00574604"/>
    <w:rsid w:val="00581C03"/>
    <w:rsid w:val="0059290F"/>
    <w:rsid w:val="005D089F"/>
    <w:rsid w:val="005E75FB"/>
    <w:rsid w:val="005F6C16"/>
    <w:rsid w:val="006475D5"/>
    <w:rsid w:val="00651E57"/>
    <w:rsid w:val="00660E5D"/>
    <w:rsid w:val="00661FAA"/>
    <w:rsid w:val="00663FF4"/>
    <w:rsid w:val="00685E12"/>
    <w:rsid w:val="0069453A"/>
    <w:rsid w:val="00696DB0"/>
    <w:rsid w:val="006B346B"/>
    <w:rsid w:val="006B7B9A"/>
    <w:rsid w:val="006D0428"/>
    <w:rsid w:val="006F3961"/>
    <w:rsid w:val="006F7910"/>
    <w:rsid w:val="00700CCC"/>
    <w:rsid w:val="0070200C"/>
    <w:rsid w:val="007059E9"/>
    <w:rsid w:val="00711C98"/>
    <w:rsid w:val="00712CC3"/>
    <w:rsid w:val="00727B4F"/>
    <w:rsid w:val="00755583"/>
    <w:rsid w:val="00756028"/>
    <w:rsid w:val="00780660"/>
    <w:rsid w:val="00785D08"/>
    <w:rsid w:val="007A116A"/>
    <w:rsid w:val="007A7587"/>
    <w:rsid w:val="007B1150"/>
    <w:rsid w:val="007B2D9C"/>
    <w:rsid w:val="007B410B"/>
    <w:rsid w:val="007C10C3"/>
    <w:rsid w:val="007D012E"/>
    <w:rsid w:val="007E1E5B"/>
    <w:rsid w:val="007F7712"/>
    <w:rsid w:val="00805083"/>
    <w:rsid w:val="00817B24"/>
    <w:rsid w:val="00821CFE"/>
    <w:rsid w:val="008345EC"/>
    <w:rsid w:val="008445C3"/>
    <w:rsid w:val="008502AC"/>
    <w:rsid w:val="0086108A"/>
    <w:rsid w:val="00863C85"/>
    <w:rsid w:val="00865EFE"/>
    <w:rsid w:val="0087139B"/>
    <w:rsid w:val="0087588E"/>
    <w:rsid w:val="00877AB1"/>
    <w:rsid w:val="008B18C4"/>
    <w:rsid w:val="008B2AD4"/>
    <w:rsid w:val="008C1ED7"/>
    <w:rsid w:val="008C2822"/>
    <w:rsid w:val="008D1173"/>
    <w:rsid w:val="008D7435"/>
    <w:rsid w:val="00901352"/>
    <w:rsid w:val="009068FB"/>
    <w:rsid w:val="00913432"/>
    <w:rsid w:val="00914C4D"/>
    <w:rsid w:val="00915150"/>
    <w:rsid w:val="00925BB1"/>
    <w:rsid w:val="00927EC2"/>
    <w:rsid w:val="00934A3F"/>
    <w:rsid w:val="00934A83"/>
    <w:rsid w:val="0094134E"/>
    <w:rsid w:val="00942612"/>
    <w:rsid w:val="00950CF1"/>
    <w:rsid w:val="00952926"/>
    <w:rsid w:val="0096503D"/>
    <w:rsid w:val="00972190"/>
    <w:rsid w:val="0097495A"/>
    <w:rsid w:val="00996457"/>
    <w:rsid w:val="009970A0"/>
    <w:rsid w:val="009A47D9"/>
    <w:rsid w:val="009B58CF"/>
    <w:rsid w:val="009C0ADE"/>
    <w:rsid w:val="009D15C0"/>
    <w:rsid w:val="009D65E4"/>
    <w:rsid w:val="009D6FA2"/>
    <w:rsid w:val="009E278C"/>
    <w:rsid w:val="009F51F0"/>
    <w:rsid w:val="00A024A8"/>
    <w:rsid w:val="00A1553D"/>
    <w:rsid w:val="00A20B6D"/>
    <w:rsid w:val="00A239A8"/>
    <w:rsid w:val="00A52A41"/>
    <w:rsid w:val="00A57EB4"/>
    <w:rsid w:val="00A616E1"/>
    <w:rsid w:val="00A63A9E"/>
    <w:rsid w:val="00A642A5"/>
    <w:rsid w:val="00A805AA"/>
    <w:rsid w:val="00A81A8B"/>
    <w:rsid w:val="00A91462"/>
    <w:rsid w:val="00A9785A"/>
    <w:rsid w:val="00AA4034"/>
    <w:rsid w:val="00AB38DF"/>
    <w:rsid w:val="00AC6596"/>
    <w:rsid w:val="00AD197D"/>
    <w:rsid w:val="00AE2295"/>
    <w:rsid w:val="00AE6A19"/>
    <w:rsid w:val="00AF779D"/>
    <w:rsid w:val="00B0573F"/>
    <w:rsid w:val="00B21BD8"/>
    <w:rsid w:val="00B37F4B"/>
    <w:rsid w:val="00B5490F"/>
    <w:rsid w:val="00B56E4E"/>
    <w:rsid w:val="00B60859"/>
    <w:rsid w:val="00B61988"/>
    <w:rsid w:val="00B67515"/>
    <w:rsid w:val="00B70460"/>
    <w:rsid w:val="00B72B41"/>
    <w:rsid w:val="00B869ED"/>
    <w:rsid w:val="00B91953"/>
    <w:rsid w:val="00BB3AE4"/>
    <w:rsid w:val="00BB47D6"/>
    <w:rsid w:val="00BB48A7"/>
    <w:rsid w:val="00BD3780"/>
    <w:rsid w:val="00BD4EBD"/>
    <w:rsid w:val="00BE4C15"/>
    <w:rsid w:val="00C04B32"/>
    <w:rsid w:val="00C16757"/>
    <w:rsid w:val="00C30AD3"/>
    <w:rsid w:val="00C320F0"/>
    <w:rsid w:val="00C40E42"/>
    <w:rsid w:val="00C415A8"/>
    <w:rsid w:val="00C43019"/>
    <w:rsid w:val="00C46572"/>
    <w:rsid w:val="00C610D8"/>
    <w:rsid w:val="00C6505C"/>
    <w:rsid w:val="00C87B3F"/>
    <w:rsid w:val="00C95297"/>
    <w:rsid w:val="00CA185E"/>
    <w:rsid w:val="00CB1123"/>
    <w:rsid w:val="00CB3C5C"/>
    <w:rsid w:val="00CB58AA"/>
    <w:rsid w:val="00CD14AD"/>
    <w:rsid w:val="00CD1CBC"/>
    <w:rsid w:val="00CE1C88"/>
    <w:rsid w:val="00CE3417"/>
    <w:rsid w:val="00CF131D"/>
    <w:rsid w:val="00D134D7"/>
    <w:rsid w:val="00D20839"/>
    <w:rsid w:val="00D24198"/>
    <w:rsid w:val="00D26AA0"/>
    <w:rsid w:val="00D5581B"/>
    <w:rsid w:val="00D7652A"/>
    <w:rsid w:val="00D80625"/>
    <w:rsid w:val="00D80EAA"/>
    <w:rsid w:val="00DA2128"/>
    <w:rsid w:val="00DB6E93"/>
    <w:rsid w:val="00DB7A51"/>
    <w:rsid w:val="00DD4477"/>
    <w:rsid w:val="00DD44B9"/>
    <w:rsid w:val="00DE0D99"/>
    <w:rsid w:val="00DE3DBD"/>
    <w:rsid w:val="00DF44D8"/>
    <w:rsid w:val="00DF4571"/>
    <w:rsid w:val="00E1265F"/>
    <w:rsid w:val="00E12DBF"/>
    <w:rsid w:val="00E1693E"/>
    <w:rsid w:val="00E24003"/>
    <w:rsid w:val="00E56DEA"/>
    <w:rsid w:val="00E6519E"/>
    <w:rsid w:val="00E65B8E"/>
    <w:rsid w:val="00E740B6"/>
    <w:rsid w:val="00E76DED"/>
    <w:rsid w:val="00EA11FB"/>
    <w:rsid w:val="00EB190F"/>
    <w:rsid w:val="00EB37FB"/>
    <w:rsid w:val="00EB50D6"/>
    <w:rsid w:val="00EB5A6E"/>
    <w:rsid w:val="00EC4473"/>
    <w:rsid w:val="00ED485E"/>
    <w:rsid w:val="00EE003A"/>
    <w:rsid w:val="00EE724C"/>
    <w:rsid w:val="00EF76E5"/>
    <w:rsid w:val="00F01DF9"/>
    <w:rsid w:val="00F02EEB"/>
    <w:rsid w:val="00F1389B"/>
    <w:rsid w:val="00F224CD"/>
    <w:rsid w:val="00F31794"/>
    <w:rsid w:val="00F645F8"/>
    <w:rsid w:val="00F71C69"/>
    <w:rsid w:val="00F9622F"/>
    <w:rsid w:val="00F97B97"/>
    <w:rsid w:val="00FA2410"/>
    <w:rsid w:val="00FB2E6C"/>
    <w:rsid w:val="00FC2605"/>
    <w:rsid w:val="00FE3CEA"/>
    <w:rsid w:val="00FE612E"/>
    <w:rsid w:val="00FE6A89"/>
    <w:rsid w:val="00FF38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EF77"/>
  <w15:docId w15:val="{2F3E6592-0652-4192-B7A5-4020D852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EC2"/>
  </w:style>
  <w:style w:type="paragraph" w:styleId="BalloonText">
    <w:name w:val="Balloon Text"/>
    <w:basedOn w:val="Normal"/>
    <w:link w:val="BalloonTextChar"/>
    <w:uiPriority w:val="99"/>
    <w:semiHidden/>
    <w:unhideWhenUsed/>
    <w:rsid w:val="000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AB3"/>
    <w:rPr>
      <w:rFonts w:ascii="Segoe UI" w:hAnsi="Segoe UI" w:cs="Segoe UI"/>
      <w:sz w:val="18"/>
      <w:szCs w:val="18"/>
    </w:rPr>
  </w:style>
  <w:style w:type="character" w:styleId="CommentReference">
    <w:name w:val="annotation reference"/>
    <w:basedOn w:val="DefaultParagraphFont"/>
    <w:uiPriority w:val="99"/>
    <w:semiHidden/>
    <w:unhideWhenUsed/>
    <w:rsid w:val="00116E21"/>
    <w:rPr>
      <w:sz w:val="16"/>
      <w:szCs w:val="16"/>
    </w:rPr>
  </w:style>
  <w:style w:type="paragraph" w:styleId="CommentText">
    <w:name w:val="annotation text"/>
    <w:basedOn w:val="Normal"/>
    <w:link w:val="CommentTextChar"/>
    <w:uiPriority w:val="99"/>
    <w:semiHidden/>
    <w:unhideWhenUsed/>
    <w:rsid w:val="00116E21"/>
    <w:pPr>
      <w:spacing w:line="240" w:lineRule="auto"/>
    </w:pPr>
    <w:rPr>
      <w:sz w:val="20"/>
      <w:szCs w:val="20"/>
    </w:rPr>
  </w:style>
  <w:style w:type="character" w:customStyle="1" w:styleId="CommentTextChar">
    <w:name w:val="Comment Text Char"/>
    <w:basedOn w:val="DefaultParagraphFont"/>
    <w:link w:val="CommentText"/>
    <w:uiPriority w:val="99"/>
    <w:semiHidden/>
    <w:rsid w:val="00116E21"/>
    <w:rPr>
      <w:sz w:val="20"/>
      <w:szCs w:val="20"/>
    </w:rPr>
  </w:style>
  <w:style w:type="paragraph" w:styleId="CommentSubject">
    <w:name w:val="annotation subject"/>
    <w:basedOn w:val="CommentText"/>
    <w:next w:val="CommentText"/>
    <w:link w:val="CommentSubjectChar"/>
    <w:uiPriority w:val="99"/>
    <w:semiHidden/>
    <w:unhideWhenUsed/>
    <w:rsid w:val="00116E21"/>
    <w:rPr>
      <w:b/>
      <w:bCs/>
    </w:rPr>
  </w:style>
  <w:style w:type="character" w:customStyle="1" w:styleId="CommentSubjectChar">
    <w:name w:val="Comment Subject Char"/>
    <w:basedOn w:val="CommentTextChar"/>
    <w:link w:val="CommentSubject"/>
    <w:uiPriority w:val="99"/>
    <w:semiHidden/>
    <w:rsid w:val="00116E21"/>
    <w:rPr>
      <w:b/>
      <w:bCs/>
      <w:sz w:val="20"/>
      <w:szCs w:val="20"/>
    </w:rPr>
  </w:style>
  <w:style w:type="paragraph" w:styleId="FootnoteText">
    <w:name w:val="footnote text"/>
    <w:basedOn w:val="Normal"/>
    <w:link w:val="FootnoteTextChar"/>
    <w:uiPriority w:val="99"/>
    <w:semiHidden/>
    <w:unhideWhenUsed/>
    <w:rsid w:val="00CD14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4AD"/>
    <w:rPr>
      <w:sz w:val="20"/>
      <w:szCs w:val="20"/>
    </w:rPr>
  </w:style>
  <w:style w:type="character" w:styleId="FootnoteReference">
    <w:name w:val="footnote reference"/>
    <w:basedOn w:val="DefaultParagraphFont"/>
    <w:uiPriority w:val="99"/>
    <w:semiHidden/>
    <w:unhideWhenUsed/>
    <w:rsid w:val="00CD14AD"/>
    <w:rPr>
      <w:vertAlign w:val="superscript"/>
    </w:rPr>
  </w:style>
  <w:style w:type="paragraph" w:styleId="Revision">
    <w:name w:val="Revision"/>
    <w:hidden/>
    <w:uiPriority w:val="99"/>
    <w:semiHidden/>
    <w:rsid w:val="003E18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CB693-6345-4D0B-9033-3D847712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Jordaan</dc:creator>
  <cp:lastModifiedBy>Mokone</cp:lastModifiedBy>
  <cp:revision>2</cp:revision>
  <cp:lastPrinted>2020-12-22T11:41:00Z</cp:lastPrinted>
  <dcterms:created xsi:type="dcterms:W3CDTF">2023-04-13T11:20:00Z</dcterms:created>
  <dcterms:modified xsi:type="dcterms:W3CDTF">2023-04-13T11:20:00Z</dcterms:modified>
</cp:coreProperties>
</file>