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E4" w:rsidRDefault="00B17E46">
      <w:pPr>
        <w:widowControl w:val="0"/>
        <w:shd w:val="clear" w:color="auto" w:fill="FFFFFF"/>
        <w:spacing w:after="200" w:line="276" w:lineRule="auto"/>
        <w:jc w:val="center"/>
        <w:rPr>
          <w:rFonts w:ascii="Arial" w:eastAsia="Arial" w:hAnsi="Arial" w:cs="Arial"/>
          <w:b/>
        </w:rPr>
      </w:pPr>
      <w:bookmarkStart w:id="0" w:name="_GoBack"/>
      <w:bookmarkEnd w:id="0"/>
      <w:r>
        <w:rPr>
          <w:rFonts w:ascii="Arial" w:eastAsia="Arial" w:hAnsi="Arial" w:cs="Arial"/>
          <w:b/>
          <w:noProof/>
        </w:rPr>
        <w:drawing>
          <wp:inline distT="114300" distB="114300" distL="114300" distR="114300">
            <wp:extent cx="1311112" cy="115794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1112" cy="1157945"/>
                    </a:xfrm>
                    <a:prstGeom prst="rect">
                      <a:avLst/>
                    </a:prstGeom>
                    <a:ln/>
                  </pic:spPr>
                </pic:pic>
              </a:graphicData>
            </a:graphic>
          </wp:inline>
        </w:drawing>
      </w:r>
    </w:p>
    <w:p w:rsidR="00876CE4" w:rsidRDefault="00B17E46">
      <w:pPr>
        <w:widowControl w:val="0"/>
        <w:shd w:val="clear" w:color="auto" w:fill="FFFFFF"/>
        <w:spacing w:after="240" w:line="276" w:lineRule="auto"/>
        <w:jc w:val="center"/>
        <w:rPr>
          <w:rFonts w:ascii="Arial" w:eastAsia="Arial" w:hAnsi="Arial" w:cs="Arial"/>
          <w:b/>
        </w:rPr>
      </w:pPr>
      <w:r>
        <w:rPr>
          <w:rFonts w:ascii="Arial" w:eastAsia="Arial" w:hAnsi="Arial" w:cs="Arial"/>
          <w:b/>
        </w:rPr>
        <w:t>IN THE SPECIAL TRIBUNAL ESTABLISHED IN TERMS OF SECTION 2 (1) OF THE SPECIAL INVESTIGATIONS UNIT AND SPECIAL TRIBUNALS ACT 74 OF 1996</w:t>
      </w:r>
    </w:p>
    <w:p w:rsidR="00876CE4" w:rsidRDefault="00B17E46">
      <w:pPr>
        <w:widowControl w:val="0"/>
        <w:shd w:val="clear" w:color="auto" w:fill="FFFFFF"/>
        <w:spacing w:after="240" w:line="276" w:lineRule="auto"/>
        <w:jc w:val="center"/>
        <w:rPr>
          <w:rFonts w:ascii="Arial" w:eastAsia="Arial" w:hAnsi="Arial" w:cs="Arial"/>
          <w:b/>
          <w:sz w:val="28"/>
          <w:szCs w:val="28"/>
        </w:rPr>
      </w:pPr>
      <w:r>
        <w:rPr>
          <w:rFonts w:ascii="Arial" w:eastAsia="Arial" w:hAnsi="Arial" w:cs="Arial"/>
          <w:b/>
          <w:sz w:val="28"/>
          <w:szCs w:val="28"/>
        </w:rPr>
        <w:t>JUDGMENT SUMMARY</w:t>
      </w:r>
    </w:p>
    <w:p w:rsidR="00876CE4" w:rsidRDefault="00876CE4">
      <w:pPr>
        <w:widowControl w:val="0"/>
        <w:pBdr>
          <w:top w:val="nil"/>
          <w:left w:val="nil"/>
          <w:bottom w:val="nil"/>
          <w:right w:val="nil"/>
          <w:between w:val="nil"/>
        </w:pBdr>
        <w:spacing w:after="0" w:line="276" w:lineRule="auto"/>
        <w:jc w:val="center"/>
        <w:rPr>
          <w:rFonts w:ascii="Arial" w:eastAsia="Arial" w:hAnsi="Arial" w:cs="Arial"/>
          <w:b/>
        </w:rPr>
      </w:pPr>
    </w:p>
    <w:tbl>
      <w:tblPr>
        <w:tblStyle w:val="a3"/>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876CE4">
        <w:tc>
          <w:tcPr>
            <w:tcW w:w="9007" w:type="dxa"/>
            <w:gridSpan w:val="2"/>
          </w:tcPr>
          <w:p w:rsidR="00876CE4" w:rsidRDefault="00B17E46">
            <w:pPr>
              <w:spacing w:after="0" w:line="276" w:lineRule="auto"/>
              <w:jc w:val="center"/>
              <w:rPr>
                <w:rFonts w:ascii="Gill Sans" w:eastAsia="Gill Sans" w:hAnsi="Gill Sans" w:cs="Gill Sans"/>
                <w:b/>
                <w:i/>
              </w:rPr>
            </w:pPr>
            <w:r>
              <w:rPr>
                <w:rFonts w:ascii="Gill Sans" w:eastAsia="Gill Sans" w:hAnsi="Gill Sans" w:cs="Gill Sans"/>
                <w:b/>
                <w:i/>
              </w:rPr>
              <w:t xml:space="preserve">Special Investigating Unit and Others v </w:t>
            </w:r>
            <w:proofErr w:type="spellStart"/>
            <w:r>
              <w:rPr>
                <w:rFonts w:ascii="Gill Sans" w:eastAsia="Gill Sans" w:hAnsi="Gill Sans" w:cs="Gill Sans"/>
                <w:b/>
                <w:i/>
              </w:rPr>
              <w:t>Kajee</w:t>
            </w:r>
            <w:proofErr w:type="spellEnd"/>
          </w:p>
        </w:tc>
      </w:tr>
      <w:tr w:rsidR="00876CE4">
        <w:tc>
          <w:tcPr>
            <w:tcW w:w="2689" w:type="dxa"/>
          </w:tcPr>
          <w:p w:rsidR="00876CE4" w:rsidRDefault="00B17E46">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rsidR="00876CE4" w:rsidRDefault="00B17E46">
            <w:pPr>
              <w:spacing w:after="0" w:line="276" w:lineRule="auto"/>
              <w:jc w:val="both"/>
              <w:rPr>
                <w:rFonts w:ascii="Gill Sans" w:eastAsia="Gill Sans" w:hAnsi="Gill Sans" w:cs="Gill Sans"/>
              </w:rPr>
            </w:pPr>
            <w:hyperlink r:id="rId8">
              <w:r>
                <w:rPr>
                  <w:rFonts w:ascii="Gill Sans" w:eastAsia="Gill Sans" w:hAnsi="Gill Sans" w:cs="Gill Sans"/>
                  <w:color w:val="0563C1"/>
                  <w:u w:val="single"/>
                </w:rPr>
                <w:t>https://lawlibrary.org.za/akn/za/judgment/zast/2023/5/eng@2023-02-28</w:t>
              </w:r>
            </w:hyperlink>
            <w:r>
              <w:rPr>
                <w:rFonts w:ascii="Gill Sans" w:eastAsia="Gill Sans" w:hAnsi="Gill Sans" w:cs="Gill Sans"/>
              </w:rPr>
              <w:t xml:space="preserve"> </w:t>
            </w:r>
          </w:p>
        </w:tc>
      </w:tr>
      <w:tr w:rsidR="00876CE4">
        <w:tc>
          <w:tcPr>
            <w:tcW w:w="2689" w:type="dxa"/>
          </w:tcPr>
          <w:p w:rsidR="00876CE4" w:rsidRDefault="00B17E46">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rsidR="00876CE4" w:rsidRDefault="00B17E46">
            <w:pPr>
              <w:spacing w:after="0" w:line="276" w:lineRule="auto"/>
              <w:jc w:val="both"/>
              <w:rPr>
                <w:rFonts w:ascii="Gill Sans" w:eastAsia="Gill Sans" w:hAnsi="Gill Sans" w:cs="Gill Sans"/>
              </w:rPr>
            </w:pPr>
            <w:r>
              <w:rPr>
                <w:rFonts w:ascii="Gill Sans" w:eastAsia="Gill Sans" w:hAnsi="Gill Sans" w:cs="Gill Sans"/>
              </w:rPr>
              <w:t>(GP22/2021) [2023] ZAST 5</w:t>
            </w:r>
          </w:p>
        </w:tc>
      </w:tr>
      <w:tr w:rsidR="00876CE4">
        <w:tc>
          <w:tcPr>
            <w:tcW w:w="2689" w:type="dxa"/>
          </w:tcPr>
          <w:p w:rsidR="00876CE4" w:rsidRDefault="00B17E46">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rsidR="00876CE4" w:rsidRDefault="00B17E46">
            <w:pPr>
              <w:spacing w:after="0" w:line="276" w:lineRule="auto"/>
              <w:jc w:val="both"/>
              <w:rPr>
                <w:rFonts w:ascii="Gill Sans" w:eastAsia="Gill Sans" w:hAnsi="Gill Sans" w:cs="Gill Sans"/>
              </w:rPr>
            </w:pPr>
            <w:r>
              <w:rPr>
                <w:rFonts w:ascii="Gill Sans" w:eastAsia="Gill Sans" w:hAnsi="Gill Sans" w:cs="Gill Sans"/>
              </w:rPr>
              <w:t>21 February 2023</w:t>
            </w:r>
          </w:p>
        </w:tc>
      </w:tr>
      <w:tr w:rsidR="00876CE4">
        <w:tc>
          <w:tcPr>
            <w:tcW w:w="2689" w:type="dxa"/>
          </w:tcPr>
          <w:p w:rsidR="00876CE4" w:rsidRDefault="00B17E46">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rsidR="00876CE4" w:rsidRDefault="00B17E46">
            <w:pPr>
              <w:spacing w:after="0" w:line="276" w:lineRule="auto"/>
              <w:jc w:val="both"/>
              <w:rPr>
                <w:rFonts w:ascii="Gill Sans" w:eastAsia="Gill Sans" w:hAnsi="Gill Sans" w:cs="Gill Sans"/>
              </w:rPr>
            </w:pPr>
            <w:r>
              <w:rPr>
                <w:rFonts w:ascii="Gill Sans" w:eastAsia="Gill Sans" w:hAnsi="Gill Sans" w:cs="Gill Sans"/>
              </w:rPr>
              <w:t>Special Investigating Unit, Special Tribunal, exception, notice of motion, application, irregular, barred, ipso facto, corrupt, collusive, plea, counterclaim, summons, compel, appropriate relief, procedure, pleading, out of time, prescribed time</w:t>
            </w:r>
          </w:p>
        </w:tc>
      </w:tr>
      <w:tr w:rsidR="00876CE4">
        <w:tc>
          <w:tcPr>
            <w:tcW w:w="2689" w:type="dxa"/>
          </w:tcPr>
          <w:p w:rsidR="00876CE4" w:rsidRDefault="00B17E46">
            <w:pPr>
              <w:spacing w:after="0" w:line="276" w:lineRule="auto"/>
              <w:jc w:val="both"/>
              <w:rPr>
                <w:rFonts w:ascii="Gill Sans" w:eastAsia="Gill Sans" w:hAnsi="Gill Sans" w:cs="Gill Sans"/>
              </w:rPr>
            </w:pPr>
            <w:r>
              <w:rPr>
                <w:rFonts w:ascii="Gill Sans" w:eastAsia="Gill Sans" w:hAnsi="Gill Sans" w:cs="Gill Sans"/>
              </w:rPr>
              <w:t>Summary</w:t>
            </w:r>
            <w:r>
              <w:rPr>
                <w:rFonts w:ascii="Gill Sans" w:eastAsia="Gill Sans" w:hAnsi="Gill Sans" w:cs="Gill Sans"/>
                <w:vertAlign w:val="superscript"/>
              </w:rPr>
              <w:footnoteReference w:id="2"/>
            </w:r>
          </w:p>
        </w:tc>
        <w:tc>
          <w:tcPr>
            <w:tcW w:w="6318" w:type="dxa"/>
          </w:tcPr>
          <w:p w:rsidR="00876CE4" w:rsidRDefault="00B17E46">
            <w:pPr>
              <w:spacing w:after="0" w:line="276" w:lineRule="auto"/>
              <w:jc w:val="both"/>
              <w:rPr>
                <w:rFonts w:ascii="Gill Sans" w:eastAsia="Gill Sans" w:hAnsi="Gill Sans" w:cs="Gill Sans"/>
              </w:rPr>
            </w:pPr>
            <w:bookmarkStart w:id="1" w:name="_heading=h.gjdgxs" w:colFirst="0" w:colLast="0"/>
            <w:bookmarkEnd w:id="1"/>
            <w:r>
              <w:rPr>
                <w:rFonts w:ascii="Gill Sans" w:eastAsia="Gill Sans" w:hAnsi="Gill Sans" w:cs="Gill Sans"/>
              </w:rPr>
              <w:t xml:space="preserve">In the main action, the plaintiffs sought to recover money from the defendant, Hassan </w:t>
            </w:r>
            <w:proofErr w:type="spellStart"/>
            <w:r>
              <w:rPr>
                <w:rFonts w:ascii="Gill Sans" w:eastAsia="Gill Sans" w:hAnsi="Gill Sans" w:cs="Gill Sans"/>
              </w:rPr>
              <w:t>Ebrahim</w:t>
            </w:r>
            <w:proofErr w:type="spellEnd"/>
            <w:r>
              <w:rPr>
                <w:rFonts w:ascii="Gill Sans" w:eastAsia="Gill Sans" w:hAnsi="Gill Sans" w:cs="Gill Sans"/>
              </w:rPr>
              <w:t xml:space="preserve"> </w:t>
            </w:r>
            <w:proofErr w:type="spellStart"/>
            <w:r>
              <w:rPr>
                <w:rFonts w:ascii="Gill Sans" w:eastAsia="Gill Sans" w:hAnsi="Gill Sans" w:cs="Gill Sans"/>
              </w:rPr>
              <w:t>Kajee</w:t>
            </w:r>
            <w:proofErr w:type="spellEnd"/>
            <w:r>
              <w:rPr>
                <w:rFonts w:ascii="Gill Sans" w:eastAsia="Gill Sans" w:hAnsi="Gill Sans" w:cs="Gill Sans"/>
              </w:rPr>
              <w:t xml:space="preserve"> (</w:t>
            </w:r>
            <w:proofErr w:type="spellStart"/>
            <w:r>
              <w:rPr>
                <w:rFonts w:ascii="Gill Sans" w:eastAsia="Gill Sans" w:hAnsi="Gill Sans" w:cs="Gill Sans"/>
                <w:b/>
              </w:rPr>
              <w:t>Kajee</w:t>
            </w:r>
            <w:proofErr w:type="spellEnd"/>
            <w:r>
              <w:rPr>
                <w:rFonts w:ascii="Gill Sans" w:eastAsia="Gill Sans" w:hAnsi="Gill Sans" w:cs="Gill Sans"/>
              </w:rPr>
              <w:t xml:space="preserve">), for damages the State suffered as a result of the allegedly corrupt and collusive relationship between the State Attorney and </w:t>
            </w:r>
            <w:proofErr w:type="spellStart"/>
            <w:r>
              <w:rPr>
                <w:rFonts w:ascii="Gill Sans" w:eastAsia="Gill Sans" w:hAnsi="Gill Sans" w:cs="Gill Sans"/>
              </w:rPr>
              <w:t>Kajee</w:t>
            </w:r>
            <w:proofErr w:type="spellEnd"/>
            <w:r>
              <w:rPr>
                <w:rFonts w:ascii="Gill Sans" w:eastAsia="Gill Sans" w:hAnsi="Gill Sans" w:cs="Gill Sans"/>
              </w:rPr>
              <w:t>. The plaintiffs</w:t>
            </w:r>
            <w:r>
              <w:rPr>
                <w:rFonts w:ascii="Gill Sans" w:eastAsia="Gill Sans" w:hAnsi="Gill Sans" w:cs="Gill Sans"/>
              </w:rPr>
              <w:t xml:space="preserve"> issued a summons against </w:t>
            </w:r>
            <w:proofErr w:type="spellStart"/>
            <w:r>
              <w:rPr>
                <w:rFonts w:ascii="Gill Sans" w:eastAsia="Gill Sans" w:hAnsi="Gill Sans" w:cs="Gill Sans"/>
              </w:rPr>
              <w:t>Kajee</w:t>
            </w:r>
            <w:proofErr w:type="spellEnd"/>
            <w:r>
              <w:rPr>
                <w:rFonts w:ascii="Gill Sans" w:eastAsia="Gill Sans" w:hAnsi="Gill Sans" w:cs="Gill Sans"/>
              </w:rPr>
              <w:t xml:space="preserve">. </w:t>
            </w:r>
            <w:proofErr w:type="spellStart"/>
            <w:r>
              <w:rPr>
                <w:rFonts w:ascii="Gill Sans" w:eastAsia="Gill Sans" w:hAnsi="Gill Sans" w:cs="Gill Sans"/>
              </w:rPr>
              <w:t>Kajee</w:t>
            </w:r>
            <w:proofErr w:type="spellEnd"/>
            <w:r>
              <w:rPr>
                <w:rFonts w:ascii="Gill Sans" w:eastAsia="Gill Sans" w:hAnsi="Gill Sans" w:cs="Gill Sans"/>
              </w:rPr>
              <w:t xml:space="preserve"> then attempted to compel the plaintiffs to make certain documents available to him, but this was dismissed by the Special Tribunal. The Special Tribunal directed </w:t>
            </w:r>
            <w:proofErr w:type="spellStart"/>
            <w:r>
              <w:rPr>
                <w:rFonts w:ascii="Gill Sans" w:eastAsia="Gill Sans" w:hAnsi="Gill Sans" w:cs="Gill Sans"/>
              </w:rPr>
              <w:t>Kajee</w:t>
            </w:r>
            <w:proofErr w:type="spellEnd"/>
            <w:r>
              <w:rPr>
                <w:rFonts w:ascii="Gill Sans" w:eastAsia="Gill Sans" w:hAnsi="Gill Sans" w:cs="Gill Sans"/>
              </w:rPr>
              <w:t xml:space="preserve"> to file either his plea and counterclaim or an ex</w:t>
            </w:r>
            <w:r>
              <w:rPr>
                <w:rFonts w:ascii="Gill Sans" w:eastAsia="Gill Sans" w:hAnsi="Gill Sans" w:cs="Gill Sans"/>
              </w:rPr>
              <w:t xml:space="preserve">ception by a prescribed date, failing which he would be barred from doing so. </w:t>
            </w:r>
            <w:proofErr w:type="spellStart"/>
            <w:r>
              <w:rPr>
                <w:rFonts w:ascii="Gill Sans" w:eastAsia="Gill Sans" w:hAnsi="Gill Sans" w:cs="Gill Sans"/>
              </w:rPr>
              <w:t>Kajee</w:t>
            </w:r>
            <w:proofErr w:type="spellEnd"/>
            <w:r>
              <w:rPr>
                <w:rFonts w:ascii="Gill Sans" w:eastAsia="Gill Sans" w:hAnsi="Gill Sans" w:cs="Gill Sans"/>
              </w:rPr>
              <w:t xml:space="preserve"> subsequently sought to bring an exception by way of an application procedure in terms of Uniform Rule 23(1) (the </w:t>
            </w:r>
            <w:r>
              <w:rPr>
                <w:rFonts w:ascii="Gill Sans" w:eastAsia="Gill Sans" w:hAnsi="Gill Sans" w:cs="Gill Sans"/>
                <w:b/>
              </w:rPr>
              <w:t>Rule 23 Exception Application</w:t>
            </w:r>
            <w:r>
              <w:rPr>
                <w:rFonts w:ascii="Gill Sans" w:eastAsia="Gill Sans" w:hAnsi="Gill Sans" w:cs="Gill Sans"/>
              </w:rPr>
              <w:t>). The plaintiffs applied in t</w:t>
            </w:r>
            <w:r>
              <w:rPr>
                <w:rFonts w:ascii="Gill Sans" w:eastAsia="Gill Sans" w:hAnsi="Gill Sans" w:cs="Gill Sans"/>
              </w:rPr>
              <w:t xml:space="preserve">erms of Uniform Rule 30(1) to remove the Rule 23 Exception Application as the plaintiffs argued that it constituted an irregular step (the </w:t>
            </w:r>
            <w:r>
              <w:rPr>
                <w:rFonts w:ascii="Gill Sans" w:eastAsia="Gill Sans" w:hAnsi="Gill Sans" w:cs="Gill Sans"/>
                <w:b/>
              </w:rPr>
              <w:t>Rule 30 Application</w:t>
            </w:r>
            <w:r>
              <w:rPr>
                <w:rFonts w:ascii="Gill Sans" w:eastAsia="Gill Sans" w:hAnsi="Gill Sans" w:cs="Gill Sans"/>
              </w:rPr>
              <w:t>).</w:t>
            </w:r>
          </w:p>
          <w:p w:rsidR="00876CE4" w:rsidRDefault="00876CE4">
            <w:pPr>
              <w:spacing w:after="0" w:line="276" w:lineRule="auto"/>
              <w:jc w:val="both"/>
              <w:rPr>
                <w:rFonts w:ascii="Gill Sans" w:eastAsia="Gill Sans" w:hAnsi="Gill Sans" w:cs="Gill Sans"/>
              </w:rPr>
            </w:pPr>
            <w:bookmarkStart w:id="2" w:name="_heading=h.jnwmbrohwg7k" w:colFirst="0" w:colLast="0"/>
            <w:bookmarkEnd w:id="2"/>
          </w:p>
          <w:p w:rsidR="00876CE4" w:rsidRDefault="00B17E46">
            <w:pPr>
              <w:spacing w:after="0" w:line="276" w:lineRule="auto"/>
              <w:jc w:val="both"/>
              <w:rPr>
                <w:rFonts w:ascii="Gill Sans" w:eastAsia="Gill Sans" w:hAnsi="Gill Sans" w:cs="Gill Sans"/>
              </w:rPr>
            </w:pPr>
            <w:r>
              <w:rPr>
                <w:rFonts w:ascii="Gill Sans" w:eastAsia="Gill Sans" w:hAnsi="Gill Sans" w:cs="Gill Sans"/>
              </w:rPr>
              <w:lastRenderedPageBreak/>
              <w:t>The Special Tribunal was asked to consider whether the plaintiffs had made out a proper case f</w:t>
            </w:r>
            <w:r>
              <w:rPr>
                <w:rFonts w:ascii="Gill Sans" w:eastAsia="Gill Sans" w:hAnsi="Gill Sans" w:cs="Gill Sans"/>
              </w:rPr>
              <w:t xml:space="preserve">or the removal of </w:t>
            </w:r>
            <w:proofErr w:type="spellStart"/>
            <w:r>
              <w:rPr>
                <w:rFonts w:ascii="Gill Sans" w:eastAsia="Gill Sans" w:hAnsi="Gill Sans" w:cs="Gill Sans"/>
              </w:rPr>
              <w:t>Kajee’s</w:t>
            </w:r>
            <w:proofErr w:type="spellEnd"/>
            <w:r>
              <w:rPr>
                <w:rFonts w:ascii="Gill Sans" w:eastAsia="Gill Sans" w:hAnsi="Gill Sans" w:cs="Gill Sans"/>
              </w:rPr>
              <w:t xml:space="preserve"> Rule 23 Exception Application and whether </w:t>
            </w:r>
            <w:proofErr w:type="spellStart"/>
            <w:r>
              <w:rPr>
                <w:rFonts w:ascii="Gill Sans" w:eastAsia="Gill Sans" w:hAnsi="Gill Sans" w:cs="Gill Sans"/>
              </w:rPr>
              <w:t>Kajee</w:t>
            </w:r>
            <w:proofErr w:type="spellEnd"/>
            <w:r>
              <w:rPr>
                <w:rFonts w:ascii="Gill Sans" w:eastAsia="Gill Sans" w:hAnsi="Gill Sans" w:cs="Gill Sans"/>
              </w:rPr>
              <w:t xml:space="preserve"> was barred from filing an exception.</w:t>
            </w:r>
          </w:p>
        </w:tc>
      </w:tr>
      <w:tr w:rsidR="00876CE4">
        <w:tc>
          <w:tcPr>
            <w:tcW w:w="2689" w:type="dxa"/>
          </w:tcPr>
          <w:p w:rsidR="00876CE4" w:rsidRDefault="00B17E46">
            <w:pPr>
              <w:spacing w:after="0" w:line="276" w:lineRule="auto"/>
              <w:jc w:val="both"/>
              <w:rPr>
                <w:rFonts w:ascii="Gill Sans" w:eastAsia="Gill Sans" w:hAnsi="Gill Sans" w:cs="Gill Sans"/>
              </w:rPr>
            </w:pPr>
            <w:r>
              <w:rPr>
                <w:rFonts w:ascii="Gill Sans" w:eastAsia="Gill Sans" w:hAnsi="Gill Sans" w:cs="Gill Sans"/>
              </w:rPr>
              <w:lastRenderedPageBreak/>
              <w:t>Decision/ Judgment</w:t>
            </w:r>
            <w:r>
              <w:rPr>
                <w:rFonts w:ascii="Gill Sans" w:eastAsia="Gill Sans" w:hAnsi="Gill Sans" w:cs="Gill Sans"/>
                <w:vertAlign w:val="superscript"/>
              </w:rPr>
              <w:footnoteReference w:id="3"/>
            </w:r>
          </w:p>
        </w:tc>
        <w:tc>
          <w:tcPr>
            <w:tcW w:w="6318" w:type="dxa"/>
          </w:tcPr>
          <w:p w:rsidR="00876CE4" w:rsidRDefault="00B17E46">
            <w:pPr>
              <w:spacing w:after="0"/>
              <w:jc w:val="both"/>
              <w:rPr>
                <w:rFonts w:ascii="Gill Sans" w:eastAsia="Gill Sans" w:hAnsi="Gill Sans" w:cs="Gill Sans"/>
              </w:rPr>
            </w:pPr>
            <w:r>
              <w:rPr>
                <w:rFonts w:ascii="Gill Sans" w:eastAsia="Gill Sans" w:hAnsi="Gill Sans" w:cs="Gill Sans"/>
              </w:rPr>
              <w:t xml:space="preserve">The Special Tribunal granted the plaintiffs’ Rule 30 Application, and set aside </w:t>
            </w:r>
            <w:proofErr w:type="spellStart"/>
            <w:r>
              <w:rPr>
                <w:rFonts w:ascii="Gill Sans" w:eastAsia="Gill Sans" w:hAnsi="Gill Sans" w:cs="Gill Sans"/>
              </w:rPr>
              <w:t>Kajee’s</w:t>
            </w:r>
            <w:proofErr w:type="spellEnd"/>
            <w:r>
              <w:rPr>
                <w:rFonts w:ascii="Gill Sans" w:eastAsia="Gill Sans" w:hAnsi="Gill Sans" w:cs="Gill Sans"/>
              </w:rPr>
              <w:t xml:space="preserve"> Rule 23 Exception Application as it </w:t>
            </w:r>
            <w:r>
              <w:rPr>
                <w:rFonts w:ascii="Gill Sans" w:eastAsia="Gill Sans" w:hAnsi="Gill Sans" w:cs="Gill Sans"/>
              </w:rPr>
              <w:t xml:space="preserve">was irregular. </w:t>
            </w:r>
            <w:proofErr w:type="spellStart"/>
            <w:r>
              <w:rPr>
                <w:rFonts w:ascii="Gill Sans" w:eastAsia="Gill Sans" w:hAnsi="Gill Sans" w:cs="Gill Sans"/>
              </w:rPr>
              <w:t>Kajee</w:t>
            </w:r>
            <w:proofErr w:type="spellEnd"/>
            <w:r>
              <w:rPr>
                <w:rFonts w:ascii="Gill Sans" w:eastAsia="Gill Sans" w:hAnsi="Gill Sans" w:cs="Gill Sans"/>
              </w:rPr>
              <w:t xml:space="preserve"> was also ordered to pay the costs of this application.</w:t>
            </w:r>
          </w:p>
        </w:tc>
      </w:tr>
      <w:tr w:rsidR="00876CE4">
        <w:tc>
          <w:tcPr>
            <w:tcW w:w="2689" w:type="dxa"/>
          </w:tcPr>
          <w:p w:rsidR="00876CE4" w:rsidRDefault="00B17E46">
            <w:pPr>
              <w:spacing w:after="0" w:line="276" w:lineRule="auto"/>
              <w:jc w:val="both"/>
              <w:rPr>
                <w:rFonts w:ascii="Gill Sans" w:eastAsia="Gill Sans" w:hAnsi="Gill Sans" w:cs="Gill Sans"/>
              </w:rPr>
            </w:pPr>
            <w:r>
              <w:rPr>
                <w:rFonts w:ascii="Gill Sans" w:eastAsia="Gill Sans" w:hAnsi="Gill Sans" w:cs="Gill Sans"/>
              </w:rPr>
              <w:t>Basis of the decision</w:t>
            </w:r>
            <w:r>
              <w:rPr>
                <w:rFonts w:ascii="Gill Sans" w:eastAsia="Gill Sans" w:hAnsi="Gill Sans" w:cs="Gill Sans"/>
                <w:vertAlign w:val="superscript"/>
              </w:rPr>
              <w:footnoteReference w:id="4"/>
            </w:r>
          </w:p>
        </w:tc>
        <w:tc>
          <w:tcPr>
            <w:tcW w:w="6318" w:type="dxa"/>
          </w:tcPr>
          <w:p w:rsidR="00876CE4" w:rsidRDefault="00B17E46">
            <w:pPr>
              <w:spacing w:after="0" w:line="276" w:lineRule="auto"/>
              <w:jc w:val="both"/>
              <w:rPr>
                <w:rFonts w:ascii="Gill Sans" w:eastAsia="Gill Sans" w:hAnsi="Gill Sans" w:cs="Gill Sans"/>
              </w:rPr>
            </w:pPr>
            <w:r>
              <w:rPr>
                <w:rFonts w:ascii="Gill Sans" w:eastAsia="Gill Sans" w:hAnsi="Gill Sans" w:cs="Gill Sans"/>
              </w:rPr>
              <w:t xml:space="preserve">The Special Tribunal found that </w:t>
            </w:r>
            <w:proofErr w:type="spellStart"/>
            <w:r>
              <w:rPr>
                <w:rFonts w:ascii="Gill Sans" w:eastAsia="Gill Sans" w:hAnsi="Gill Sans" w:cs="Gill Sans"/>
              </w:rPr>
              <w:t>Kajee</w:t>
            </w:r>
            <w:proofErr w:type="spellEnd"/>
            <w:r>
              <w:rPr>
                <w:rFonts w:ascii="Gill Sans" w:eastAsia="Gill Sans" w:hAnsi="Gill Sans" w:cs="Gill Sans"/>
              </w:rPr>
              <w:t xml:space="preserve"> had failed to file an exception as envisaged in Uniform Rule 23(1) and instead had filed a notice of motion supported by an affidavit, calling on the plaintiff to file an answering affidavit. This was an irregular step</w:t>
            </w:r>
            <w:r>
              <w:rPr>
                <w:rFonts w:ascii="Gill Sans" w:eastAsia="Gill Sans" w:hAnsi="Gill Sans" w:cs="Gill Sans"/>
              </w:rPr>
              <w:t xml:space="preserve"> as Uniform Rule 23(1), when properly interpreted, did not suggest that an application procedure may be used to bring an application. While </w:t>
            </w:r>
            <w:proofErr w:type="spellStart"/>
            <w:r>
              <w:rPr>
                <w:rFonts w:ascii="Gill Sans" w:eastAsia="Gill Sans" w:hAnsi="Gill Sans" w:cs="Gill Sans"/>
              </w:rPr>
              <w:t>Kajee</w:t>
            </w:r>
            <w:proofErr w:type="spellEnd"/>
            <w:r>
              <w:rPr>
                <w:rFonts w:ascii="Gill Sans" w:eastAsia="Gill Sans" w:hAnsi="Gill Sans" w:cs="Gill Sans"/>
              </w:rPr>
              <w:t xml:space="preserve"> belatedly sought to rely on Tribunal Rule 10(10) (which permitted application proceedings), the Special Tribun</w:t>
            </w:r>
            <w:r>
              <w:rPr>
                <w:rFonts w:ascii="Gill Sans" w:eastAsia="Gill Sans" w:hAnsi="Gill Sans" w:cs="Gill Sans"/>
              </w:rPr>
              <w:t xml:space="preserve">al held that it was inappropriate for him to do so to escape the irregularities in the procedure he had chosen in terms of Uniform Rule 23(1).  It was also irregular for </w:t>
            </w:r>
            <w:proofErr w:type="spellStart"/>
            <w:r>
              <w:rPr>
                <w:rFonts w:ascii="Gill Sans" w:eastAsia="Gill Sans" w:hAnsi="Gill Sans" w:cs="Gill Sans"/>
              </w:rPr>
              <w:t>Kajee</w:t>
            </w:r>
            <w:proofErr w:type="spellEnd"/>
            <w:r>
              <w:rPr>
                <w:rFonts w:ascii="Gill Sans" w:eastAsia="Gill Sans" w:hAnsi="Gill Sans" w:cs="Gill Sans"/>
              </w:rPr>
              <w:t xml:space="preserve"> to seek a dismissal of the plaintiffs’ action by way of an exception. The Specia</w:t>
            </w:r>
            <w:r>
              <w:rPr>
                <w:rFonts w:ascii="Gill Sans" w:eastAsia="Gill Sans" w:hAnsi="Gill Sans" w:cs="Gill Sans"/>
              </w:rPr>
              <w:t xml:space="preserve">l Tribunal was therefore satisfied that the plaintiffs had made out a proper case for the relief they sought in terms of their Rule 30 Application. </w:t>
            </w:r>
          </w:p>
          <w:p w:rsidR="00876CE4" w:rsidRDefault="00876CE4">
            <w:pPr>
              <w:spacing w:after="0" w:line="276" w:lineRule="auto"/>
              <w:jc w:val="both"/>
              <w:rPr>
                <w:rFonts w:ascii="Gill Sans" w:eastAsia="Gill Sans" w:hAnsi="Gill Sans" w:cs="Gill Sans"/>
              </w:rPr>
            </w:pPr>
          </w:p>
          <w:p w:rsidR="00876CE4" w:rsidRDefault="00B17E46">
            <w:pPr>
              <w:spacing w:after="0" w:line="276" w:lineRule="auto"/>
              <w:jc w:val="both"/>
              <w:rPr>
                <w:rFonts w:ascii="Gill Sans" w:eastAsia="Gill Sans" w:hAnsi="Gill Sans" w:cs="Gill Sans"/>
              </w:rPr>
            </w:pPr>
            <w:r>
              <w:rPr>
                <w:rFonts w:ascii="Gill Sans" w:eastAsia="Gill Sans" w:hAnsi="Gill Sans" w:cs="Gill Sans"/>
              </w:rPr>
              <w:t xml:space="preserve">Furthermore, the Special Tribunal also found that </w:t>
            </w:r>
            <w:proofErr w:type="spellStart"/>
            <w:r>
              <w:rPr>
                <w:rFonts w:ascii="Gill Sans" w:eastAsia="Gill Sans" w:hAnsi="Gill Sans" w:cs="Gill Sans"/>
              </w:rPr>
              <w:t>Kajee</w:t>
            </w:r>
            <w:proofErr w:type="spellEnd"/>
            <w:r>
              <w:rPr>
                <w:rFonts w:ascii="Gill Sans" w:eastAsia="Gill Sans" w:hAnsi="Gill Sans" w:cs="Gill Sans"/>
              </w:rPr>
              <w:t xml:space="preserve"> had filed his plea out of time, and was therefore </w:t>
            </w:r>
            <w:r>
              <w:rPr>
                <w:rFonts w:ascii="Gill Sans" w:eastAsia="Gill Sans" w:hAnsi="Gill Sans" w:cs="Gill Sans"/>
              </w:rPr>
              <w:t>barred from seeking an exception.</w:t>
            </w:r>
          </w:p>
        </w:tc>
      </w:tr>
      <w:tr w:rsidR="00876CE4">
        <w:tc>
          <w:tcPr>
            <w:tcW w:w="2689" w:type="dxa"/>
          </w:tcPr>
          <w:p w:rsidR="00876CE4" w:rsidRDefault="00B17E46">
            <w:pPr>
              <w:spacing w:after="0" w:line="276" w:lineRule="auto"/>
              <w:jc w:val="both"/>
              <w:rPr>
                <w:rFonts w:ascii="Gill Sans" w:eastAsia="Gill Sans" w:hAnsi="Gill Sans" w:cs="Gill Sans"/>
              </w:rPr>
            </w:pPr>
            <w:r>
              <w:rPr>
                <w:rFonts w:ascii="Gill Sans" w:eastAsia="Gill Sans" w:hAnsi="Gill Sans" w:cs="Gill Sans"/>
              </w:rPr>
              <w:t>Reported by</w:t>
            </w:r>
          </w:p>
          <w:p w:rsidR="00876CE4" w:rsidRDefault="00B17E46">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rsidR="00876CE4" w:rsidRDefault="00B17E46">
            <w:pPr>
              <w:spacing w:after="0" w:line="276" w:lineRule="auto"/>
              <w:jc w:val="both"/>
              <w:rPr>
                <w:rFonts w:ascii="Gill Sans" w:eastAsia="Gill Sans" w:hAnsi="Gill Sans" w:cs="Gill Sans"/>
              </w:rPr>
            </w:pPr>
            <w:r>
              <w:rPr>
                <w:rFonts w:ascii="Gill Sans" w:eastAsia="Gill Sans" w:hAnsi="Gill Sans" w:cs="Gill Sans"/>
              </w:rPr>
              <w:t>African Legal Information Institute (</w:t>
            </w:r>
            <w:proofErr w:type="spellStart"/>
            <w:r>
              <w:fldChar w:fldCharType="begin"/>
            </w:r>
            <w:r>
              <w:instrText xml:space="preserve"> HYPERLINK "https://africanlii.org/" \h </w:instrText>
            </w:r>
            <w:r>
              <w:fldChar w:fldCharType="separate"/>
            </w:r>
            <w:r>
              <w:rPr>
                <w:rFonts w:ascii="Gill Sans" w:eastAsia="Gill Sans" w:hAnsi="Gill Sans" w:cs="Gill Sans"/>
                <w:color w:val="1155CC"/>
                <w:u w:val="single"/>
              </w:rPr>
              <w:t>AfricanLII</w:t>
            </w:r>
            <w:proofErr w:type="spellEnd"/>
            <w:r>
              <w:rPr>
                <w:rFonts w:ascii="Gill Sans" w:eastAsia="Gill Sans" w:hAnsi="Gill Sans" w:cs="Gill Sans"/>
                <w:color w:val="1155CC"/>
                <w:u w:val="single"/>
              </w:rPr>
              <w:fldChar w:fldCharType="end"/>
            </w:r>
            <w:r>
              <w:rPr>
                <w:rFonts w:ascii="Gill Sans" w:eastAsia="Gill Sans" w:hAnsi="Gill Sans" w:cs="Gill Sans"/>
              </w:rPr>
              <w:t>)</w:t>
            </w:r>
          </w:p>
          <w:p w:rsidR="00876CE4" w:rsidRDefault="00B17E46">
            <w:pPr>
              <w:spacing w:after="0" w:line="276" w:lineRule="auto"/>
              <w:jc w:val="both"/>
              <w:rPr>
                <w:rFonts w:ascii="Gill Sans" w:eastAsia="Gill Sans" w:hAnsi="Gill Sans" w:cs="Gill Sans"/>
              </w:rPr>
            </w:pPr>
            <w:r>
              <w:rPr>
                <w:rFonts w:ascii="Gill Sans" w:eastAsia="Gill Sans" w:hAnsi="Gill Sans" w:cs="Gill Sans"/>
              </w:rPr>
              <w:t>28 February 2023</w:t>
            </w:r>
          </w:p>
        </w:tc>
      </w:tr>
    </w:tbl>
    <w:p w:rsidR="00876CE4" w:rsidRDefault="00876CE4">
      <w:pPr>
        <w:spacing w:after="0" w:line="276" w:lineRule="auto"/>
        <w:jc w:val="both"/>
        <w:rPr>
          <w:rFonts w:ascii="Gill Sans" w:eastAsia="Gill Sans" w:hAnsi="Gill Sans" w:cs="Gill Sans"/>
        </w:rPr>
      </w:pPr>
    </w:p>
    <w:p w:rsidR="00876CE4" w:rsidRDefault="00876CE4">
      <w:pPr>
        <w:rPr>
          <w:rFonts w:ascii="Gill Sans" w:eastAsia="Gill Sans" w:hAnsi="Gill Sans" w:cs="Gill Sans"/>
        </w:rPr>
      </w:pPr>
    </w:p>
    <w:p w:rsidR="00876CE4" w:rsidRDefault="00876CE4"/>
    <w:p w:rsidR="00876CE4" w:rsidRDefault="00876CE4"/>
    <w:p w:rsidR="00876CE4" w:rsidRDefault="00876CE4"/>
    <w:sectPr w:rsidR="00876CE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E46" w:rsidRDefault="00B17E46">
      <w:pPr>
        <w:spacing w:after="0" w:line="240" w:lineRule="auto"/>
      </w:pPr>
      <w:r>
        <w:separator/>
      </w:r>
    </w:p>
  </w:endnote>
  <w:endnote w:type="continuationSeparator" w:id="0">
    <w:p w:rsidR="00B17E46" w:rsidRDefault="00B17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E46" w:rsidRDefault="00B17E46">
      <w:pPr>
        <w:spacing w:after="0" w:line="240" w:lineRule="auto"/>
      </w:pPr>
      <w:r>
        <w:separator/>
      </w:r>
    </w:p>
  </w:footnote>
  <w:footnote w:type="continuationSeparator" w:id="0">
    <w:p w:rsidR="00B17E46" w:rsidRDefault="00B17E46">
      <w:pPr>
        <w:spacing w:after="0" w:line="240" w:lineRule="auto"/>
      </w:pPr>
      <w:r>
        <w:continuationSeparator/>
      </w:r>
    </w:p>
  </w:footnote>
  <w:footnote w:id="1">
    <w:p w:rsidR="00876CE4" w:rsidRDefault="00B17E46">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p>
  </w:footnote>
  <w:footnote w:id="2">
    <w:p w:rsidR="00876CE4" w:rsidRDefault="00B17E46">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facts, the</w:t>
      </w:r>
      <w:r>
        <w:rPr>
          <w:rFonts w:ascii="Gill Sans" w:eastAsia="Gill Sans" w:hAnsi="Gill Sans" w:cs="Gill Sans"/>
          <w:sz w:val="20"/>
          <w:szCs w:val="20"/>
        </w:rPr>
        <w:t xml:space="preserve"> main</w:t>
      </w:r>
      <w:r>
        <w:rPr>
          <w:rFonts w:ascii="Gill Sans" w:eastAsia="Gill Sans" w:hAnsi="Gill Sans" w:cs="Gill Sans"/>
          <w:color w:val="000000"/>
          <w:sz w:val="20"/>
          <w:szCs w:val="20"/>
        </w:rPr>
        <w:t xml:space="preserve"> legal questions and/or grounds of appeal, and the court</w:t>
      </w:r>
      <w:r>
        <w:rPr>
          <w:rFonts w:ascii="Gill Sans" w:eastAsia="Gill Sans" w:hAnsi="Gill Sans" w:cs="Gill Sans"/>
          <w:sz w:val="20"/>
          <w:szCs w:val="20"/>
        </w:rPr>
        <w:t>’s reasoning</w:t>
      </w:r>
      <w:r>
        <w:rPr>
          <w:rFonts w:ascii="Gill Sans" w:eastAsia="Gill Sans" w:hAnsi="Gill Sans" w:cs="Gill Sans"/>
          <w:color w:val="000000"/>
          <w:sz w:val="20"/>
          <w:szCs w:val="20"/>
        </w:rPr>
        <w:t xml:space="preserve"> (between 150-250 words).</w:t>
      </w:r>
    </w:p>
  </w:footnote>
  <w:footnote w:id="3">
    <w:p w:rsidR="00876CE4" w:rsidRDefault="00B17E46">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The ruling/judgment of the court, as given in the Order.</w:t>
      </w:r>
    </w:p>
  </w:footnote>
  <w:footnote w:id="4">
    <w:p w:rsidR="00876CE4" w:rsidRDefault="00B17E46">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sentence summary of the basis of the decision (i.e. which legal rules were relied 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E4"/>
    <w:rsid w:val="00876CE4"/>
    <w:rsid w:val="00B17E46"/>
    <w:rsid w:val="00E407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470E4-ED5B-4528-9C37-8E28F84C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29746B"/>
    <w:rPr>
      <w:color w:val="605E5C"/>
      <w:shd w:val="clear" w:color="auto" w:fill="E1DFDD"/>
    </w:r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brary.org.za/akn/za/judgment/zast/2023/5/eng@2023-02-28"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GKy7NyUZ5IcZNjWw5nUyqoQ0PQ==">AMUW2mXpZh6JLabA7yqoZTeQXFAUn4FYR6tEUgGNArJtWkDGS6n9RYRk7SF6RNnvqjWD3M5wCf9QpDc1LQ5UH/pgC4MvCPLyedz/4U2RXs/3uUzwS/KAn7L9PCSQQrAhRZvnQzlTMxXr3NgqOuGvpzyk5eei7XSQzg==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Mary Bruce</cp:lastModifiedBy>
  <cp:revision>2</cp:revision>
  <dcterms:created xsi:type="dcterms:W3CDTF">2024-01-08T13:37:00Z</dcterms:created>
  <dcterms:modified xsi:type="dcterms:W3CDTF">2024-01-08T13:37:00Z</dcterms:modified>
</cp:coreProperties>
</file>